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E5" w:rsidRPr="00647153" w:rsidRDefault="00647153" w:rsidP="00647153">
      <w:pPr>
        <w:spacing w:line="240" w:lineRule="auto"/>
        <w:jc w:val="center"/>
        <w:rPr>
          <w:rFonts w:asciiTheme="majorHAnsi" w:eastAsia="Times New Roman" w:hAnsiTheme="majorHAnsi"/>
          <w:b/>
        </w:rPr>
      </w:pPr>
      <w:bookmarkStart w:id="0" w:name="_GoBack"/>
      <w:bookmarkEnd w:id="0"/>
      <w:r>
        <w:rPr>
          <w:rFonts w:asciiTheme="majorHAnsi" w:eastAsia="Times New Roman" w:hAnsiTheme="majorHAnsi"/>
          <w:b/>
        </w:rPr>
        <w:br/>
      </w:r>
      <w:r w:rsidR="00F0618D" w:rsidRPr="00BF473D">
        <w:rPr>
          <w:rFonts w:asciiTheme="majorHAnsi" w:eastAsia="Times New Roman" w:hAnsiTheme="majorHAnsi"/>
          <w:b/>
        </w:rPr>
        <w:t xml:space="preserve">Testimony for </w:t>
      </w:r>
      <w:r w:rsidR="00CB7D46" w:rsidRPr="00BF473D">
        <w:rPr>
          <w:rFonts w:asciiTheme="majorHAnsi" w:eastAsia="Times New Roman" w:hAnsiTheme="majorHAnsi"/>
          <w:b/>
        </w:rPr>
        <w:t xml:space="preserve">the </w:t>
      </w:r>
      <w:r w:rsidR="00F0618D" w:rsidRPr="00BF473D">
        <w:rPr>
          <w:rFonts w:asciiTheme="majorHAnsi" w:eastAsia="Times New Roman" w:hAnsiTheme="majorHAnsi"/>
          <w:b/>
        </w:rPr>
        <w:t xml:space="preserve">NYC Council </w:t>
      </w:r>
      <w:r w:rsidR="00697AE2" w:rsidRPr="00BF473D">
        <w:rPr>
          <w:rFonts w:asciiTheme="majorHAnsi" w:eastAsia="Times New Roman" w:hAnsiTheme="majorHAnsi"/>
          <w:b/>
        </w:rPr>
        <w:t xml:space="preserve">Hearing </w:t>
      </w:r>
      <w:r w:rsidR="00C97FB8" w:rsidRPr="00BF473D">
        <w:rPr>
          <w:rFonts w:asciiTheme="majorHAnsi" w:eastAsia="Times New Roman" w:hAnsiTheme="majorHAnsi"/>
          <w:b/>
        </w:rPr>
        <w:t xml:space="preserve">on </w:t>
      </w:r>
      <w:r w:rsidR="004F1171">
        <w:rPr>
          <w:rFonts w:asciiTheme="majorHAnsi" w:eastAsia="Times New Roman" w:hAnsiTheme="majorHAnsi"/>
          <w:b/>
        </w:rPr>
        <w:t>Senior Housing</w:t>
      </w:r>
      <w:r>
        <w:rPr>
          <w:rFonts w:asciiTheme="majorHAnsi" w:eastAsia="Times New Roman" w:hAnsiTheme="majorHAnsi"/>
          <w:b/>
        </w:rPr>
        <w:br/>
      </w:r>
      <w:r w:rsidR="003A73C4" w:rsidRPr="00BF473D">
        <w:rPr>
          <w:rFonts w:asciiTheme="majorHAnsi" w:eastAsia="Times New Roman" w:hAnsiTheme="majorHAnsi" w:cs="Times New Roman"/>
          <w:b/>
        </w:rPr>
        <w:t>Lindsay Goldman, LMSW</w:t>
      </w:r>
      <w:r w:rsidR="007F349A">
        <w:rPr>
          <w:rFonts w:asciiTheme="majorHAnsi" w:eastAsia="Times New Roman" w:hAnsiTheme="majorHAnsi"/>
          <w:b/>
        </w:rPr>
        <w:t xml:space="preserve"> </w:t>
      </w:r>
      <w:r>
        <w:rPr>
          <w:rFonts w:asciiTheme="majorHAnsi" w:eastAsia="Times New Roman" w:hAnsiTheme="majorHAnsi"/>
          <w:b/>
        </w:rPr>
        <w:br/>
      </w:r>
      <w:r w:rsidR="00C924B1" w:rsidRPr="00BF473D">
        <w:rPr>
          <w:rFonts w:asciiTheme="majorHAnsi" w:eastAsia="Times New Roman" w:hAnsiTheme="majorHAnsi"/>
          <w:b/>
        </w:rPr>
        <w:t>June</w:t>
      </w:r>
      <w:r w:rsidR="003A73C4" w:rsidRPr="00BF473D">
        <w:rPr>
          <w:rFonts w:asciiTheme="majorHAnsi" w:eastAsia="Times New Roman" w:hAnsiTheme="majorHAnsi"/>
          <w:b/>
        </w:rPr>
        <w:t xml:space="preserve"> 18, 2014</w:t>
      </w:r>
    </w:p>
    <w:p w:rsidR="00647153" w:rsidRDefault="00F0618D" w:rsidP="00403CDF">
      <w:pPr>
        <w:spacing w:after="0" w:line="360" w:lineRule="auto"/>
        <w:contextualSpacing/>
        <w:jc w:val="both"/>
        <w:rPr>
          <w:rFonts w:asciiTheme="majorHAnsi" w:eastAsia="Times New Roman" w:hAnsiTheme="majorHAnsi" w:cs="Times New Roman"/>
        </w:rPr>
      </w:pPr>
      <w:r w:rsidRPr="00BF473D">
        <w:rPr>
          <w:rFonts w:asciiTheme="majorHAnsi" w:eastAsia="Times New Roman" w:hAnsiTheme="majorHAnsi" w:cs="Times New Roman"/>
        </w:rPr>
        <w:t>The New York Academy of Medicine (NYAM) has been advancing the health of people in cities since 1847. An independent organization, NYAM addresses the health challenges facing the world’s urban populations through interdisciplinary approaches to research, education, community engagement, and policy leadership. Our current priorities include creating environments that support healthy aging; strengthening systems that prevent disease and promote the public’s health; and working to eliminate health disparities.</w:t>
      </w:r>
    </w:p>
    <w:p w:rsidR="00BF473D" w:rsidRPr="00386A9C" w:rsidRDefault="00BF473D" w:rsidP="00403CDF">
      <w:pPr>
        <w:spacing w:after="0" w:line="360" w:lineRule="auto"/>
        <w:contextualSpacing/>
        <w:jc w:val="both"/>
        <w:rPr>
          <w:rFonts w:asciiTheme="majorHAnsi" w:eastAsia="Times New Roman" w:hAnsiTheme="majorHAnsi" w:cs="Times New Roman"/>
        </w:rPr>
      </w:pPr>
      <w:r w:rsidRPr="00BF473D">
        <w:rPr>
          <w:rFonts w:asciiTheme="majorHAnsi" w:eastAsia="Times New Roman" w:hAnsiTheme="majorHAnsi" w:cs="Times New Roman"/>
        </w:rPr>
        <w:br/>
      </w:r>
      <w:r w:rsidR="003A73C4" w:rsidRPr="00BF473D">
        <w:rPr>
          <w:rFonts w:asciiTheme="majorHAnsi" w:eastAsia="Times New Roman" w:hAnsiTheme="majorHAnsi" w:cstheme="minorHAnsi"/>
        </w:rPr>
        <w:t>NYAM’s testimony today is grounded in our</w:t>
      </w:r>
      <w:r w:rsidRPr="00BF473D">
        <w:rPr>
          <w:rFonts w:asciiTheme="majorHAnsi" w:eastAsia="Times New Roman" w:hAnsiTheme="majorHAnsi" w:cstheme="minorHAnsi"/>
        </w:rPr>
        <w:t xml:space="preserve"> role staffing</w:t>
      </w:r>
      <w:r w:rsidR="003A73C4" w:rsidRPr="00BF473D">
        <w:rPr>
          <w:rFonts w:asciiTheme="majorHAnsi" w:eastAsia="Times New Roman" w:hAnsiTheme="majorHAnsi" w:cstheme="minorHAnsi"/>
        </w:rPr>
        <w:t xml:space="preserve"> the Age-friendly New York City initiative </w:t>
      </w:r>
      <w:r w:rsidRPr="00BF473D">
        <w:rPr>
          <w:rFonts w:asciiTheme="majorHAnsi" w:hAnsiTheme="majorHAnsi"/>
        </w:rPr>
        <w:t xml:space="preserve">in partnership with the New York City Council and the Office of the Mayor.  We encourage all sectors of the city to see the opportunity in the aging of the population. Age-friendly NYC </w:t>
      </w:r>
      <w:r w:rsidR="003A73C4" w:rsidRPr="00BF473D">
        <w:rPr>
          <w:rFonts w:asciiTheme="majorHAnsi" w:eastAsia="Times New Roman" w:hAnsiTheme="majorHAnsi" w:cstheme="minorHAnsi"/>
        </w:rPr>
        <w:t>was awarded th</w:t>
      </w:r>
      <w:r w:rsidRPr="00BF473D">
        <w:rPr>
          <w:rFonts w:asciiTheme="majorHAnsi" w:eastAsia="Times New Roman" w:hAnsiTheme="majorHAnsi" w:cstheme="minorHAnsi"/>
        </w:rPr>
        <w:t>e “Best Existing Age-friendly Initiative in the W</w:t>
      </w:r>
      <w:r w:rsidR="003A73C4" w:rsidRPr="00BF473D">
        <w:rPr>
          <w:rFonts w:asciiTheme="majorHAnsi" w:eastAsia="Times New Roman" w:hAnsiTheme="majorHAnsi" w:cstheme="minorHAnsi"/>
        </w:rPr>
        <w:t>orld</w:t>
      </w:r>
      <w:r w:rsidRPr="00BF473D">
        <w:rPr>
          <w:rFonts w:asciiTheme="majorHAnsi" w:eastAsia="Times New Roman" w:hAnsiTheme="majorHAnsi" w:cstheme="minorHAnsi"/>
        </w:rPr>
        <w:t>”</w:t>
      </w:r>
      <w:r w:rsidR="003A73C4" w:rsidRPr="00BF473D">
        <w:rPr>
          <w:rFonts w:asciiTheme="majorHAnsi" w:eastAsia="Times New Roman" w:hAnsiTheme="majorHAnsi" w:cstheme="minorHAnsi"/>
        </w:rPr>
        <w:t xml:space="preserve"> by the International</w:t>
      </w:r>
      <w:r w:rsidRPr="00BF473D">
        <w:rPr>
          <w:rFonts w:asciiTheme="majorHAnsi" w:eastAsia="Times New Roman" w:hAnsiTheme="majorHAnsi" w:cstheme="minorHAnsi"/>
        </w:rPr>
        <w:t xml:space="preserve"> Federation on Ageing in 2013, and NYAM advises</w:t>
      </w:r>
      <w:r w:rsidR="003A73C4" w:rsidRPr="00BF473D">
        <w:rPr>
          <w:rFonts w:asciiTheme="majorHAnsi" w:eastAsia="Times New Roman" w:hAnsiTheme="majorHAnsi" w:cstheme="minorHAnsi"/>
        </w:rPr>
        <w:t xml:space="preserve"> communities </w:t>
      </w:r>
      <w:r w:rsidRPr="00BF473D">
        <w:rPr>
          <w:rFonts w:asciiTheme="majorHAnsi" w:eastAsia="Times New Roman" w:hAnsiTheme="majorHAnsi" w:cstheme="minorHAnsi"/>
        </w:rPr>
        <w:t xml:space="preserve">worldwide in their efforts </w:t>
      </w:r>
      <w:r w:rsidR="003A73C4" w:rsidRPr="00BF473D">
        <w:rPr>
          <w:rFonts w:asciiTheme="majorHAnsi" w:eastAsia="Times New Roman" w:hAnsiTheme="majorHAnsi" w:cstheme="minorHAnsi"/>
        </w:rPr>
        <w:t>to</w:t>
      </w:r>
      <w:r w:rsidRPr="00BF473D">
        <w:rPr>
          <w:rFonts w:asciiTheme="majorHAnsi" w:eastAsia="Times New Roman" w:hAnsiTheme="majorHAnsi" w:cstheme="minorHAnsi"/>
        </w:rPr>
        <w:t xml:space="preserve"> become more inclusive of </w:t>
      </w:r>
      <w:r w:rsidR="003A73C4" w:rsidRPr="00BF473D">
        <w:rPr>
          <w:rFonts w:asciiTheme="majorHAnsi" w:eastAsia="Times New Roman" w:hAnsiTheme="majorHAnsi" w:cstheme="minorHAnsi"/>
        </w:rPr>
        <w:t xml:space="preserve">older residents.  </w:t>
      </w:r>
    </w:p>
    <w:p w:rsidR="00A44242" w:rsidRDefault="00386A9C" w:rsidP="00403CDF">
      <w:pPr>
        <w:spacing w:after="120" w:line="360" w:lineRule="auto"/>
        <w:contextualSpacing/>
        <w:rPr>
          <w:rFonts w:asciiTheme="majorHAnsi" w:hAnsiTheme="majorHAnsi"/>
        </w:rPr>
      </w:pPr>
      <w:r>
        <w:rPr>
          <w:rFonts w:asciiTheme="majorHAnsi" w:hAnsiTheme="majorHAnsi"/>
        </w:rPr>
        <w:br/>
      </w:r>
      <w:r w:rsidR="001D4532" w:rsidRPr="00BF473D">
        <w:rPr>
          <w:rFonts w:asciiTheme="majorHAnsi" w:hAnsiTheme="majorHAnsi"/>
        </w:rPr>
        <w:t>W</w:t>
      </w:r>
      <w:r w:rsidR="00F76FDA" w:rsidRPr="00BF473D">
        <w:rPr>
          <w:rFonts w:asciiTheme="majorHAnsi" w:hAnsiTheme="majorHAnsi"/>
        </w:rPr>
        <w:t xml:space="preserve">e applaud the City </w:t>
      </w:r>
      <w:r w:rsidR="00BF473D">
        <w:rPr>
          <w:rFonts w:asciiTheme="majorHAnsi" w:hAnsiTheme="majorHAnsi"/>
        </w:rPr>
        <w:t xml:space="preserve">Council for recognizing the myriad </w:t>
      </w:r>
      <w:r w:rsidR="006E06EC">
        <w:rPr>
          <w:rFonts w:asciiTheme="majorHAnsi" w:hAnsiTheme="majorHAnsi"/>
        </w:rPr>
        <w:t>housing challenges experienced</w:t>
      </w:r>
      <w:r w:rsidR="00BF473D">
        <w:rPr>
          <w:rFonts w:asciiTheme="majorHAnsi" w:hAnsiTheme="majorHAnsi"/>
        </w:rPr>
        <w:t xml:space="preserve"> by older adults </w:t>
      </w:r>
      <w:r w:rsidR="006E06EC">
        <w:rPr>
          <w:rFonts w:asciiTheme="majorHAnsi" w:hAnsiTheme="majorHAnsi"/>
        </w:rPr>
        <w:t xml:space="preserve">and </w:t>
      </w:r>
      <w:r w:rsidR="00BF473D">
        <w:rPr>
          <w:rFonts w:asciiTheme="majorHAnsi" w:hAnsiTheme="majorHAnsi"/>
        </w:rPr>
        <w:t xml:space="preserve">proposing a law to create a senior housing task force. </w:t>
      </w:r>
      <w:r w:rsidR="002B44CD" w:rsidRPr="00BF473D">
        <w:rPr>
          <w:rFonts w:asciiTheme="majorHAnsi" w:hAnsiTheme="majorHAnsi"/>
        </w:rPr>
        <w:t xml:space="preserve"> </w:t>
      </w:r>
      <w:r w:rsidR="006E06EC" w:rsidRPr="006E06EC">
        <w:rPr>
          <w:rFonts w:asciiTheme="majorHAnsi" w:hAnsiTheme="majorHAnsi"/>
        </w:rPr>
        <w:t>Housing is an important predictor of security – one of three co</w:t>
      </w:r>
      <w:r w:rsidR="006E06EC">
        <w:rPr>
          <w:rFonts w:asciiTheme="majorHAnsi" w:hAnsiTheme="majorHAnsi"/>
        </w:rPr>
        <w:t xml:space="preserve">re pillars of the World Health </w:t>
      </w:r>
      <w:r w:rsidR="006E06EC" w:rsidRPr="006E06EC">
        <w:rPr>
          <w:rFonts w:asciiTheme="majorHAnsi" w:hAnsiTheme="majorHAnsi"/>
        </w:rPr>
        <w:t>Organization</w:t>
      </w:r>
      <w:r w:rsidR="008E5335">
        <w:rPr>
          <w:rFonts w:asciiTheme="majorHAnsi" w:hAnsiTheme="majorHAnsi"/>
        </w:rPr>
        <w:t>’</w:t>
      </w:r>
      <w:r w:rsidR="006E06EC" w:rsidRPr="006E06EC">
        <w:rPr>
          <w:rFonts w:asciiTheme="majorHAnsi" w:hAnsiTheme="majorHAnsi"/>
        </w:rPr>
        <w:t>s Policy Framework for Active Ageing – and safe, ad</w:t>
      </w:r>
      <w:r w:rsidR="006E06EC">
        <w:rPr>
          <w:rFonts w:asciiTheme="majorHAnsi" w:hAnsiTheme="majorHAnsi"/>
        </w:rPr>
        <w:t xml:space="preserve">equate housing is essential to </w:t>
      </w:r>
      <w:r w:rsidR="006E06EC" w:rsidRPr="006E06EC">
        <w:rPr>
          <w:rFonts w:asciiTheme="majorHAnsi" w:hAnsiTheme="majorHAnsi"/>
        </w:rPr>
        <w:t>the well-being of older people</w:t>
      </w:r>
      <w:r w:rsidR="00805FDD">
        <w:rPr>
          <w:rFonts w:asciiTheme="majorHAnsi" w:hAnsiTheme="majorHAnsi"/>
        </w:rPr>
        <w:t>.</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"World Health Organization", "given" : "", "non-dropping-particle" : "", "parse-names" : false, "suffix" : "" } ], "id" : "ITEM-1", "issued" : { "date-parts" : [ [ "2002" ] ] }, "publisher" : "World Health Organization", "publisher-place" : "Geneva Switzerland", "title" : "Active ageing : a policy framework.", "type" : "book" }, "uris" : [ "http://www.mendeley.com/documents/?uuid=1d4d9012-230f-4019-bca7-c73405a5219d" ] } ], "mendeley" : { "previouslyFormattedCitation" : "&lt;sup&gt;1&lt;/sup&gt;"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1</w:t>
      </w:r>
      <w:r w:rsidR="0027123B">
        <w:rPr>
          <w:rFonts w:asciiTheme="majorHAnsi" w:hAnsiTheme="majorHAnsi"/>
        </w:rPr>
        <w:fldChar w:fldCharType="end"/>
      </w:r>
      <w:r w:rsidR="00805FDD">
        <w:rPr>
          <w:rFonts w:asciiTheme="majorHAnsi" w:hAnsiTheme="majorHAnsi"/>
        </w:rPr>
        <w:t xml:space="preserve"> </w:t>
      </w:r>
      <w:r w:rsidR="006E06EC" w:rsidRPr="006E06EC">
        <w:rPr>
          <w:rFonts w:asciiTheme="majorHAnsi" w:hAnsiTheme="majorHAnsi"/>
        </w:rPr>
        <w:t>There is considerable evidence to suggest the physical conditions and quality of the home environment impact both physical and mental health</w:t>
      </w:r>
      <w:r w:rsidR="00805FDD">
        <w:rPr>
          <w:rFonts w:asciiTheme="majorHAnsi" w:hAnsiTheme="majorHAnsi"/>
        </w:rPr>
        <w:t>.</w:t>
      </w:r>
      <w:r w:rsidR="0027123B">
        <w:rPr>
          <w:rFonts w:asciiTheme="majorHAnsi" w:hAnsiTheme="majorHAnsi"/>
        </w:rPr>
        <w:fldChar w:fldCharType="begin" w:fldLock="1"/>
      </w:r>
      <w:r w:rsidR="00F25EB3">
        <w:rPr>
          <w:rFonts w:asciiTheme="majorHAnsi" w:hAnsiTheme="majorHAnsi"/>
        </w:rPr>
        <w:instrText>ADDIN CSL_CITATION { "citationItems" : [ { "id" : "ITEM-1", "itemData" : { "ISBN" : "9781901519037", "author" : [ { "dropping-particle" : "", "family" : "Thomson", "given" : "Hilary", "non-dropping-particle" : "", "parse-names" : false, "suffix" : "" }, { "dropping-particle" : "", "family" : "Petticrew", "given" : "Mark", "non-dropping-particle" : "", "parse-names" : false, "suffix" : "" }, { "dropping-particle" : "", "family" : "Morrison", "given" : "David", "non-dropping-particle" : "", "parse-names" : false, "suffix" : "" } ], "id" : "ITEM-1", "issued" : { "date-parts" : [ [ "2002" ] ] }, "publisher" : "MRC Social &amp; Public Health Services Unit University of Glasgow", "publisher-place" : "Glasgow", "title" : "Housing improvement and health gain : a summary and systematic review", "type" : "report" }, "uris" : [ "http://www.mendeley.com/documents/?uuid=00cc0d37-173e-472e-915f-96d50fc53ac7" ] }, { "id" : "ITEM-2", "itemData" : { "ISSN" : "0022-006X", "author" : [ { "dropping-particle" : "", "family" : "Evans", "given" : "GW", "non-dropping-particle" : "", "parse-names" : false, "suffix" : "" }, { "dropping-particle" : "", "family" : "Wells", "given" : "NM", "non-dropping-particle" : "", "parse-names" : false, "suffix" : "" }, { "dropping-particle" : "", "family" : "Chan", "given" : "HYE", "non-dropping-particle" : "", "parse-names" : false, "suffix" : "" }, { "dropping-particle" : "", "family" : "Saltzman", "given" : "H", "non-dropping-particle" : "", "parse-names" : false, "suffix" : "" } ], "container-title" : "Journal of consulting and clinical psychology", "id" : "ITEM-2", "issue" : "3", "issued" : { "date-parts" : [ [ "2000" ] ] }, "title" : "Housing quality and mental health.", "type" : "article-journal", "volume" : "68" }, "uris" : [ "http://www.mendeley.com/documents/?uuid=263f1ae0-36b0-4545-92c4-f30486240011" ] } ], "mendeley" : { "previouslyFormattedCitation" : "&lt;sup&gt;2,3&lt;/sup&gt;"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2,3</w:t>
      </w:r>
      <w:r w:rsidR="0027123B">
        <w:rPr>
          <w:rFonts w:asciiTheme="majorHAnsi" w:hAnsiTheme="majorHAnsi"/>
        </w:rPr>
        <w:fldChar w:fldCharType="end"/>
      </w:r>
      <w:r w:rsidR="006E06EC" w:rsidRPr="006E06EC">
        <w:rPr>
          <w:rFonts w:asciiTheme="majorHAnsi" w:hAnsiTheme="majorHAnsi"/>
        </w:rPr>
        <w:t xml:space="preserve"> </w:t>
      </w:r>
    </w:p>
    <w:p w:rsidR="00054B4B" w:rsidRDefault="008E5335" w:rsidP="00403CDF">
      <w:pPr>
        <w:spacing w:after="120" w:line="360" w:lineRule="auto"/>
        <w:contextualSpacing/>
        <w:rPr>
          <w:rFonts w:asciiTheme="majorHAnsi" w:hAnsiTheme="majorHAnsi"/>
        </w:rPr>
      </w:pPr>
      <w:r>
        <w:rPr>
          <w:rFonts w:asciiTheme="majorHAnsi" w:hAnsiTheme="majorHAnsi"/>
        </w:rPr>
        <w:br/>
      </w:r>
      <w:r w:rsidR="00054B4B">
        <w:rPr>
          <w:rFonts w:asciiTheme="majorHAnsi" w:hAnsiTheme="majorHAnsi"/>
        </w:rPr>
        <w:t>The nearly 1.4 millio</w:t>
      </w:r>
      <w:r w:rsidR="00156A3D">
        <w:rPr>
          <w:rFonts w:asciiTheme="majorHAnsi" w:hAnsiTheme="majorHAnsi"/>
        </w:rPr>
        <w:t xml:space="preserve">n older adults living in the city </w:t>
      </w:r>
      <w:r w:rsidR="00A44242">
        <w:rPr>
          <w:rFonts w:asciiTheme="majorHAnsi" w:hAnsiTheme="majorHAnsi"/>
        </w:rPr>
        <w:t>are geographically dispersed, with the largest concentrations in Brooklyn and Queens.</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"U.S. Census Bureau", "given" : "", "non-dropping-particle" : "", "parse-names" : false, "suffix" : "" } ], "id" : "ITEM-1", "issued" : { "date-parts" : [ [ "2013" ] ] }, "publisher" : "American FactFinder", "title" : "American Community Survey, 2008-2012 American Community Survey 5-Year Estimates", "type" : "article" }, "uris" : [ "http://www.mendeley.com/documents/?uuid=435e9d2b-bc09-4681-90ab-f9684db8ed0a" ] } ], "mendeley" : { "previouslyFormattedCitation" : "&lt;sup&gt;4&lt;/sup&gt;"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4</w:t>
      </w:r>
      <w:r w:rsidR="0027123B">
        <w:rPr>
          <w:rFonts w:asciiTheme="majorHAnsi" w:hAnsiTheme="majorHAnsi"/>
        </w:rPr>
        <w:fldChar w:fldCharType="end"/>
      </w:r>
      <w:r w:rsidR="00054B4B">
        <w:rPr>
          <w:rFonts w:asciiTheme="majorHAnsi" w:hAnsiTheme="majorHAnsi"/>
        </w:rPr>
        <w:t xml:space="preserve"> Older adults are more likely to rent (463,617 households) than own (376,856 households), and older renters typically have lower income</w:t>
      </w:r>
      <w:r w:rsidR="00475414">
        <w:rPr>
          <w:rFonts w:asciiTheme="majorHAnsi" w:hAnsiTheme="majorHAnsi"/>
        </w:rPr>
        <w:t>s</w:t>
      </w:r>
      <w:r w:rsidR="00054B4B">
        <w:rPr>
          <w:rFonts w:asciiTheme="majorHAnsi" w:hAnsiTheme="majorHAnsi"/>
        </w:rPr>
        <w:t xml:space="preserve"> than </w:t>
      </w:r>
      <w:r w:rsidR="00475414">
        <w:rPr>
          <w:rFonts w:asciiTheme="majorHAnsi" w:hAnsiTheme="majorHAnsi"/>
        </w:rPr>
        <w:t xml:space="preserve">older </w:t>
      </w:r>
      <w:r w:rsidR="00054B4B">
        <w:rPr>
          <w:rFonts w:asciiTheme="majorHAnsi" w:hAnsiTheme="majorHAnsi"/>
        </w:rPr>
        <w:t>owners.</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"Office of the City Comptroller John C. Liu", "given" : "", "non-dropping-particle" : "", "parse-names" : false, "suffix" : "" } ], "id" : "ITEM-1", "issue" : "May", "issued" : { "date-parts" : [ [ "2013" ] ] }, "publisher-place" : "New York", "title" : "Housing in New York City : The Coming Crisis", "type" : "report" }, "uris" : [ "http://www.mendeley.com/documents/?uuid=15af7882-9d84-4885-b3e0-837590570705" ] } ], "mendeley" : { "previouslyFormattedCitation" : "&lt;sup&gt;5&lt;/sup&gt;"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5</w:t>
      </w:r>
      <w:r w:rsidR="0027123B">
        <w:rPr>
          <w:rFonts w:asciiTheme="majorHAnsi" w:hAnsiTheme="majorHAnsi"/>
        </w:rPr>
        <w:fldChar w:fldCharType="end"/>
      </w:r>
      <w:r w:rsidR="00054B4B">
        <w:rPr>
          <w:rFonts w:asciiTheme="majorHAnsi" w:hAnsiTheme="majorHAnsi"/>
        </w:rPr>
        <w:t xml:space="preserve"> </w:t>
      </w:r>
      <w:r w:rsidR="00F25EB3">
        <w:rPr>
          <w:rFonts w:asciiTheme="majorHAnsi" w:hAnsiTheme="majorHAnsi"/>
        </w:rPr>
        <w:t>As a result, t</w:t>
      </w:r>
      <w:r w:rsidR="00156A3D">
        <w:rPr>
          <w:rFonts w:asciiTheme="majorHAnsi" w:hAnsiTheme="majorHAnsi"/>
        </w:rPr>
        <w:t xml:space="preserve">he majority of older renters rely on subsidies to afford their housing. </w:t>
      </w:r>
      <w:r w:rsidR="00054B4B">
        <w:rPr>
          <w:rFonts w:asciiTheme="majorHAnsi" w:hAnsiTheme="majorHAnsi"/>
        </w:rPr>
        <w:t xml:space="preserve">The breakdown of </w:t>
      </w:r>
      <w:r w:rsidR="00AD4CED">
        <w:rPr>
          <w:rFonts w:asciiTheme="majorHAnsi" w:hAnsiTheme="majorHAnsi"/>
        </w:rPr>
        <w:t xml:space="preserve">single elderly </w:t>
      </w:r>
      <w:r w:rsidR="00054B4B">
        <w:rPr>
          <w:rFonts w:asciiTheme="majorHAnsi" w:hAnsiTheme="majorHAnsi"/>
        </w:rPr>
        <w:t>renter households is as follows:</w:t>
      </w:r>
      <w:r w:rsidR="00DD0A52">
        <w:rPr>
          <w:rFonts w:asciiTheme="majorHAnsi" w:hAnsiTheme="majorHAnsi"/>
        </w:rPr>
        <w:t xml:space="preserve"> 51% rent-stabilized/controlled; 20% market-rate rental; 16% public housing; and 14% other subsidized housing.</w:t>
      </w:r>
      <w:r w:rsidR="0027123B">
        <w:rPr>
          <w:rFonts w:asciiTheme="majorHAnsi" w:hAnsiTheme="majorHAnsi"/>
        </w:rPr>
        <w:fldChar w:fldCharType="begin" w:fldLock="1"/>
      </w:r>
      <w:r w:rsidR="00F25EB3">
        <w:rPr>
          <w:rFonts w:asciiTheme="majorHAnsi" w:hAnsiTheme="majorHAnsi"/>
        </w:rPr>
        <w:instrText>ADDIN CSL_CITATION { "citationItems" : [ { "id" : "ITEM-1", "itemData" : { "URL" : "http://www.nyc.gov/html/hpd/downloads/pdf/HVS-report-2011.pdf", "accessed" : { "date-parts" : [ [ "2014", "6", "16" ] ] }, "author" : [ { "dropping-particle" : "", "family" : "New York City Department of Housing Preservation and Development", "given" : "", "non-dropping-particle" : "", "parse-names" : false, "suffix" : "" } ], "id" : "ITEM-1", "issued" : { "date-parts" : [ [ "2013" ] ] }, "title" : "Housing New York City 2011", "type" : "webpage" }, "uris" : [ "http://www.mendeley.com/documents/?uuid=bd666358-9e20-4da0-9cc8-fd2cc4abbb5f" ] } ], "mendeley" : { "previouslyFormattedCitation" : "&lt;sup&gt;6&lt;/sup&gt;"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6</w:t>
      </w:r>
      <w:r w:rsidR="0027123B">
        <w:rPr>
          <w:rFonts w:asciiTheme="majorHAnsi" w:hAnsiTheme="majorHAnsi"/>
        </w:rPr>
        <w:fldChar w:fldCharType="end"/>
      </w:r>
      <w:r w:rsidR="00DD0A52">
        <w:rPr>
          <w:rFonts w:asciiTheme="majorHAnsi" w:hAnsiTheme="majorHAnsi"/>
        </w:rPr>
        <w:t xml:space="preserve"> One third of older adults live alone</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"U.S. Census Bureau", "given" : "", "non-dropping-particle" : "", "parse-names" : false, "suffix" : "" } ], "id" : "ITEM-1", "issued" : { "date-parts" : [ [ "2013" ] ] }, "publisher" : "American FactFinder", "title" : "American Community Survey, 2008-2012 American Community Survey 5-Year Estimates", "type" : "article" }, "uris" : [ "http://www.mendeley.com/documents/?uuid=435e9d2b-bc09-4681-90ab-f9684db8ed0a" ] } ], "mendeley" : { "previouslyFormattedCitation" : "&lt;sup&gt;4&lt;/sup&gt;"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4</w:t>
      </w:r>
      <w:r w:rsidR="0027123B">
        <w:rPr>
          <w:rFonts w:asciiTheme="majorHAnsi" w:hAnsiTheme="majorHAnsi"/>
        </w:rPr>
        <w:fldChar w:fldCharType="end"/>
      </w:r>
      <w:r w:rsidR="00DD0A52">
        <w:rPr>
          <w:rFonts w:asciiTheme="majorHAnsi" w:hAnsiTheme="majorHAnsi"/>
        </w:rPr>
        <w:t>, and 23% live in poverty.</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"The Center for Economic Opportunity", "given" : "", "non-dropping-particle" : "", "parse-names" : false, "suffix" : "" } ], "id" : "ITEM-1", "issued" : { "date-parts" : [ [ "2008" ] ] }, "publisher-place" : "New York", "title" : "The CEO Poverty Measure", "type" : "report" }, "uris" : [ "http://www.mendeley.com/documents/?uuid=02eb43dd-d53b-477e-8532-42b222ddcecd" ] } ], "mendeley" : { "previouslyFormattedCitation" : "&lt;sup&gt;7&lt;/sup&gt;"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7</w:t>
      </w:r>
      <w:r w:rsidR="0027123B">
        <w:rPr>
          <w:rFonts w:asciiTheme="majorHAnsi" w:hAnsiTheme="majorHAnsi"/>
        </w:rPr>
        <w:fldChar w:fldCharType="end"/>
      </w:r>
      <w:r w:rsidR="00CF3B17">
        <w:rPr>
          <w:rFonts w:asciiTheme="majorHAnsi" w:hAnsiTheme="majorHAnsi"/>
        </w:rPr>
        <w:br/>
      </w:r>
      <w:r w:rsidR="00CF3B17">
        <w:rPr>
          <w:rFonts w:asciiTheme="majorHAnsi" w:hAnsiTheme="majorHAnsi"/>
        </w:rPr>
        <w:br/>
      </w:r>
      <w:r w:rsidR="00F25EB3">
        <w:rPr>
          <w:rFonts w:asciiTheme="majorHAnsi" w:hAnsiTheme="majorHAnsi"/>
        </w:rPr>
        <w:t>F</w:t>
      </w:r>
      <w:r w:rsidR="00A35485">
        <w:rPr>
          <w:rFonts w:asciiTheme="majorHAnsi" w:hAnsiTheme="majorHAnsi"/>
        </w:rPr>
        <w:t xml:space="preserve">unctional capacity, </w:t>
      </w:r>
      <w:r w:rsidR="002E1FE1">
        <w:rPr>
          <w:rFonts w:asciiTheme="majorHAnsi" w:hAnsiTheme="majorHAnsi"/>
        </w:rPr>
        <w:t>immigration status</w:t>
      </w:r>
      <w:r w:rsidR="00A35485">
        <w:rPr>
          <w:rFonts w:asciiTheme="majorHAnsi" w:hAnsiTheme="majorHAnsi"/>
        </w:rPr>
        <w:t>, and English proficiency</w:t>
      </w:r>
      <w:r w:rsidR="002E1FE1">
        <w:rPr>
          <w:rFonts w:asciiTheme="majorHAnsi" w:hAnsiTheme="majorHAnsi"/>
        </w:rPr>
        <w:t xml:space="preserve"> </w:t>
      </w:r>
      <w:r w:rsidR="00F25EB3">
        <w:rPr>
          <w:rFonts w:asciiTheme="majorHAnsi" w:hAnsiTheme="majorHAnsi"/>
        </w:rPr>
        <w:t xml:space="preserve">also </w:t>
      </w:r>
      <w:r w:rsidR="002E1FE1">
        <w:rPr>
          <w:rFonts w:asciiTheme="majorHAnsi" w:hAnsiTheme="majorHAnsi"/>
        </w:rPr>
        <w:t>significantly impact housing options and quality of life for older people. Of adults age 6</w:t>
      </w:r>
      <w:r w:rsidR="00B84B1E">
        <w:rPr>
          <w:rFonts w:asciiTheme="majorHAnsi" w:hAnsiTheme="majorHAnsi"/>
        </w:rPr>
        <w:t>5</w:t>
      </w:r>
      <w:r w:rsidR="002E1FE1">
        <w:rPr>
          <w:rFonts w:asciiTheme="majorHAnsi" w:hAnsiTheme="majorHAnsi"/>
        </w:rPr>
        <w:t xml:space="preserve"> and ove</w:t>
      </w:r>
      <w:r w:rsidR="00B84B1E">
        <w:rPr>
          <w:rFonts w:asciiTheme="majorHAnsi" w:hAnsiTheme="majorHAnsi"/>
        </w:rPr>
        <w:t>r, 27</w:t>
      </w:r>
      <w:r w:rsidR="002E1FE1">
        <w:rPr>
          <w:rFonts w:asciiTheme="majorHAnsi" w:hAnsiTheme="majorHAnsi"/>
        </w:rPr>
        <w:t>% report</w:t>
      </w:r>
      <w:r w:rsidR="00B84B1E">
        <w:rPr>
          <w:rFonts w:asciiTheme="majorHAnsi" w:hAnsiTheme="majorHAnsi"/>
        </w:rPr>
        <w:t xml:space="preserve"> ambulatory </w:t>
      </w:r>
      <w:r w:rsidR="00B84B1E">
        <w:rPr>
          <w:rFonts w:asciiTheme="majorHAnsi" w:hAnsiTheme="majorHAnsi"/>
        </w:rPr>
        <w:lastRenderedPageBreak/>
        <w:t>difficulty; yet only 51% of units in multi-family housing with elevators and 3% of units in multi-family housing without elevators are fully accessible.</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"U.S. Census Bureau", "given" : "", "non-dropping-particle" : "", "parse-names" : false, "suffix" : "" } ], "id" : "ITEM-1", "issued" : { "date-parts" : [ [ "2013" ] ] }, "publisher" : "American FactFinder", "title" : "American Community Survey, 2008-2012 American Community Survey 5-Year Estimates", "type" : "article" }, "uris" : [ "http://www.mendeley.com/documents/?uuid=435e9d2b-bc09-4681-90ab-f9684db8ed0a" ] } ], "mendeley" : { "previouslyFormattedCitation" : "&lt;sup&gt;4&lt;/sup&gt;"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4</w:t>
      </w:r>
      <w:r w:rsidR="0027123B">
        <w:rPr>
          <w:rFonts w:asciiTheme="majorHAnsi" w:hAnsiTheme="majorHAnsi"/>
        </w:rPr>
        <w:fldChar w:fldCharType="end"/>
      </w:r>
      <w:r w:rsidR="00574BE8">
        <w:rPr>
          <w:rFonts w:asciiTheme="majorHAnsi" w:hAnsiTheme="majorHAnsi"/>
        </w:rPr>
        <w:t xml:space="preserve"> </w:t>
      </w:r>
      <w:r w:rsidR="00386B5A">
        <w:rPr>
          <w:rFonts w:asciiTheme="majorHAnsi" w:hAnsiTheme="majorHAnsi"/>
        </w:rPr>
        <w:t>Many older households lack low-cost improvements like grab bars in bathrooms</w:t>
      </w:r>
      <w:r w:rsidR="00574BE8">
        <w:rPr>
          <w:rFonts w:asciiTheme="majorHAnsi" w:hAnsiTheme="majorHAnsi"/>
        </w:rPr>
        <w:t>.</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"Office of the City Comptroller John C. Liu", "given" : "", "non-dropping-particle" : "", "parse-names" : false, "suffix" : "" } ], "id" : "ITEM-1", "issue" : "May", "issued" : { "date-parts" : [ [ "2013" ] ] }, "publisher-place" : "New York", "title" : "Housing in New York City : The Coming Crisis", "type" : "report" }, "uris" : [ "http://www.mendeley.com/documents/?uuid=15af7882-9d84-4885-b3e0-837590570705" ] } ], "mendeley" : { "previouslyFormattedCitation" : "&lt;sup&gt;5&lt;/sup&gt;"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5</w:t>
      </w:r>
      <w:r w:rsidR="0027123B">
        <w:rPr>
          <w:rFonts w:asciiTheme="majorHAnsi" w:hAnsiTheme="majorHAnsi"/>
        </w:rPr>
        <w:fldChar w:fldCharType="end"/>
      </w:r>
      <w:r w:rsidR="00A35485">
        <w:rPr>
          <w:rFonts w:asciiTheme="majorHAnsi" w:hAnsiTheme="majorHAnsi"/>
        </w:rPr>
        <w:t xml:space="preserve"> </w:t>
      </w:r>
      <w:r w:rsidR="002E1FE1" w:rsidRPr="002E1FE1">
        <w:rPr>
          <w:rFonts w:asciiTheme="majorHAnsi" w:hAnsiTheme="majorHAnsi" w:cs="Helvetica Neue LT"/>
          <w:color w:val="000000"/>
        </w:rPr>
        <w:t>Fifty-five percent</w:t>
      </w:r>
      <w:r w:rsidR="00CF3B17" w:rsidRPr="002E1FE1">
        <w:rPr>
          <w:rFonts w:asciiTheme="majorHAnsi" w:hAnsiTheme="majorHAnsi" w:cs="Helvetica Neue LT"/>
          <w:color w:val="000000"/>
        </w:rPr>
        <w:t xml:space="preserve"> of the age 60+ population is foreign-born</w:t>
      </w:r>
      <w:r w:rsidR="0027123B">
        <w:rPr>
          <w:rFonts w:asciiTheme="majorHAnsi" w:hAnsiTheme="majorHAnsi" w:cs="Helvetica Neue LT"/>
          <w:color w:val="000000"/>
        </w:rPr>
        <w:fldChar w:fldCharType="begin" w:fldLock="1"/>
      </w:r>
      <w:r w:rsidR="00F25EB3">
        <w:rPr>
          <w:rFonts w:asciiTheme="majorHAnsi" w:hAnsiTheme="majorHAnsi" w:cs="Helvetica Neue LT"/>
          <w:color w:val="000000"/>
        </w:rPr>
        <w:instrText>ADDIN CSL_CITATION { "citationItems" : [ { "id" : "ITEM-1", "itemData" : { "author" : [ { "dropping-particle" : "", "family" : "New York City Department for the Aging", "given" : "", "non-dropping-particle" : "", "parse-names" : false, "suffix" : "" } ], "id" : "ITEM-1", "issued" : { "date-parts" : [ [ "2013" ] ] }, "publisher-place" : "New York City", "title" : "Profile of Older New Yorkers", "type" : "report" }, "uris" : [ "http://www.mendeley.com/documents/?uuid=32a9c106-df97-4940-9f58-6088ea81ee6a" ] } ], "mendeley" : { "previouslyFormattedCitation" : "&lt;sup&gt;8&lt;/sup&gt;" }, "properties" : { "noteIndex" : 0 }, "schema" : "https://github.com/citation-style-language/schema/raw/master/csl-citation.json" }</w:instrText>
      </w:r>
      <w:r w:rsidR="0027123B">
        <w:rPr>
          <w:rFonts w:asciiTheme="majorHAnsi" w:hAnsiTheme="majorHAnsi" w:cs="Helvetica Neue LT"/>
          <w:color w:val="000000"/>
        </w:rPr>
        <w:fldChar w:fldCharType="separate"/>
      </w:r>
      <w:r w:rsidR="00F25EB3" w:rsidRPr="00F25EB3">
        <w:rPr>
          <w:rFonts w:asciiTheme="majorHAnsi" w:hAnsiTheme="majorHAnsi" w:cs="Helvetica Neue LT"/>
          <w:noProof/>
          <w:color w:val="000000"/>
          <w:vertAlign w:val="superscript"/>
        </w:rPr>
        <w:t>8</w:t>
      </w:r>
      <w:r w:rsidR="0027123B">
        <w:rPr>
          <w:rFonts w:asciiTheme="majorHAnsi" w:hAnsiTheme="majorHAnsi" w:cs="Helvetica Neue LT"/>
          <w:color w:val="000000"/>
        </w:rPr>
        <w:fldChar w:fldCharType="end"/>
      </w:r>
      <w:r w:rsidR="00CF3B17" w:rsidRPr="002E1FE1">
        <w:rPr>
          <w:rFonts w:asciiTheme="majorHAnsi" w:hAnsiTheme="majorHAnsi" w:cs="Helvetica Neue LT"/>
          <w:color w:val="000000"/>
        </w:rPr>
        <w:t>,</w:t>
      </w:r>
      <w:r w:rsidR="00A35485">
        <w:rPr>
          <w:rFonts w:asciiTheme="majorHAnsi" w:hAnsiTheme="majorHAnsi" w:cs="Helvetica Neue LT"/>
          <w:color w:val="000000"/>
        </w:rPr>
        <w:t xml:space="preserve"> and </w:t>
      </w:r>
      <w:r w:rsidR="008030A4">
        <w:rPr>
          <w:rFonts w:asciiTheme="majorHAnsi" w:hAnsiTheme="majorHAnsi" w:cs="Helvetica Neue LT"/>
          <w:color w:val="000000"/>
        </w:rPr>
        <w:t xml:space="preserve">undocumented </w:t>
      </w:r>
      <w:r w:rsidR="00A35485">
        <w:rPr>
          <w:rFonts w:asciiTheme="majorHAnsi" w:hAnsiTheme="majorHAnsi" w:cs="Helvetica Neue LT"/>
          <w:color w:val="000000"/>
        </w:rPr>
        <w:t>older adults are often ineligible for senior housing programs. In addition,</w:t>
      </w:r>
      <w:r w:rsidR="00CF3B17" w:rsidRPr="002E1FE1">
        <w:rPr>
          <w:rFonts w:asciiTheme="majorHAnsi" w:hAnsiTheme="majorHAnsi" w:cs="Helvetica Neue LT"/>
          <w:color w:val="000000"/>
        </w:rPr>
        <w:t xml:space="preserve"> </w:t>
      </w:r>
      <w:r w:rsidR="00574BE8">
        <w:rPr>
          <w:rFonts w:asciiTheme="majorHAnsi" w:hAnsiTheme="majorHAnsi" w:cs="Helvetica Neue LT"/>
          <w:color w:val="000000"/>
        </w:rPr>
        <w:t xml:space="preserve">29% of older adults </w:t>
      </w:r>
      <w:r w:rsidR="00CF3B17" w:rsidRPr="002E1FE1">
        <w:rPr>
          <w:rFonts w:asciiTheme="majorHAnsi" w:hAnsiTheme="majorHAnsi" w:cs="Helvetica Neue LT"/>
          <w:bCs/>
          <w:iCs/>
          <w:color w:val="000000"/>
        </w:rPr>
        <w:t>spea</w:t>
      </w:r>
      <w:r w:rsidR="00574BE8">
        <w:rPr>
          <w:rFonts w:asciiTheme="majorHAnsi" w:hAnsiTheme="majorHAnsi" w:cs="Helvetica Neue LT"/>
          <w:bCs/>
          <w:iCs/>
          <w:color w:val="000000"/>
        </w:rPr>
        <w:t>k English “less than very well”</w:t>
      </w:r>
      <w:r w:rsidR="0027123B">
        <w:rPr>
          <w:rFonts w:asciiTheme="majorHAnsi" w:hAnsiTheme="majorHAnsi" w:cs="Helvetica Neue LT"/>
          <w:bCs/>
          <w:iCs/>
          <w:color w:val="000000"/>
        </w:rPr>
        <w:fldChar w:fldCharType="begin" w:fldLock="1"/>
      </w:r>
      <w:r w:rsidR="00F25EB3">
        <w:rPr>
          <w:rFonts w:asciiTheme="majorHAnsi" w:hAnsiTheme="majorHAnsi" w:cs="Helvetica Neue LT"/>
          <w:bCs/>
          <w:iCs/>
          <w:color w:val="000000"/>
        </w:rPr>
        <w:instrText>ADDIN CSL_CITATION { "citationItems" : [ { "id" : "ITEM-1", "itemData" : { "author" : [ { "dropping-particle" : "", "family" : "U.S. Census Bureau", "given" : "", "non-dropping-particle" : "", "parse-names" : false, "suffix" : "" } ], "id" : "ITEM-1", "issued" : { "date-parts" : [ [ "2013" ] ] }, "publisher" : "American FactFinder", "title" : "American Community Survey, 2008-2012 American Community Survey 5-Year Estimates", "type" : "article" }, "uris" : [ "http://www.mendeley.com/documents/?uuid=435e9d2b-bc09-4681-90ab-f9684db8ed0a" ] } ], "mendeley" : { "previouslyFormattedCitation" : "&lt;sup&gt;4&lt;/sup&gt;" }, "properties" : { "noteIndex" : 0 }, "schema" : "https://github.com/citation-style-language/schema/raw/master/csl-citation.json" }</w:instrText>
      </w:r>
      <w:r w:rsidR="0027123B">
        <w:rPr>
          <w:rFonts w:asciiTheme="majorHAnsi" w:hAnsiTheme="majorHAnsi" w:cs="Helvetica Neue LT"/>
          <w:bCs/>
          <w:iCs/>
          <w:color w:val="000000"/>
        </w:rPr>
        <w:fldChar w:fldCharType="separate"/>
      </w:r>
      <w:r w:rsidR="00F25EB3" w:rsidRPr="00F25EB3">
        <w:rPr>
          <w:rFonts w:asciiTheme="majorHAnsi" w:hAnsiTheme="majorHAnsi" w:cs="Helvetica Neue LT"/>
          <w:bCs/>
          <w:iCs/>
          <w:noProof/>
          <w:color w:val="000000"/>
          <w:vertAlign w:val="superscript"/>
        </w:rPr>
        <w:t>4</w:t>
      </w:r>
      <w:r w:rsidR="0027123B">
        <w:rPr>
          <w:rFonts w:asciiTheme="majorHAnsi" w:hAnsiTheme="majorHAnsi" w:cs="Helvetica Neue LT"/>
          <w:bCs/>
          <w:iCs/>
          <w:color w:val="000000"/>
        </w:rPr>
        <w:fldChar w:fldCharType="end"/>
      </w:r>
      <w:r w:rsidR="00574BE8">
        <w:rPr>
          <w:rFonts w:asciiTheme="majorHAnsi" w:hAnsiTheme="majorHAnsi" w:cs="Helvetica Neue LT"/>
          <w:color w:val="000000"/>
        </w:rPr>
        <w:t xml:space="preserve"> which</w:t>
      </w:r>
      <w:r w:rsidR="002E1FE1">
        <w:rPr>
          <w:rFonts w:asciiTheme="majorHAnsi" w:hAnsiTheme="majorHAnsi" w:cs="Helvetica Neue LT"/>
          <w:color w:val="000000"/>
        </w:rPr>
        <w:t xml:space="preserve"> can serve as a barrier to accessing housing.</w:t>
      </w:r>
      <w:r w:rsidR="0027123B">
        <w:rPr>
          <w:rFonts w:asciiTheme="majorHAnsi" w:hAnsiTheme="majorHAnsi" w:cs="Helvetica Neue LT"/>
          <w:color w:val="000000"/>
        </w:rPr>
        <w:fldChar w:fldCharType="begin" w:fldLock="1"/>
      </w:r>
      <w:r w:rsidR="00F25EB3">
        <w:rPr>
          <w:rFonts w:asciiTheme="majorHAnsi" w:hAnsiTheme="majorHAnsi" w:cs="Helvetica Neue LT"/>
          <w:color w:val="000000"/>
        </w:rPr>
        <w:instrText>ADDIN CSL_CITATION { "citationItems" : [ { "id" : "ITEM-1", "itemData" : { "author" : [ { "dropping-particle" : "", "family" : "Gonzalez-Rivera", "given" : "Christian", "non-dropping-particle" : "", "parse-names" : false, "suffix" : "" } ], "id" : "ITEM-1", "issued" : { "date-parts" : [ [ "2013" ] ] }, "publisher-place" : "New York City", "title" : "The New Face of New York's Seniors", "type" : "report" }, "uris" : [ "http://www.mendeley.com/documents/?uuid=efa2ae72-46ed-452c-90fb-b8d10b4dc8bc" ] } ], "mendeley" : { "previouslyFormattedCitation" : "&lt;sup&gt;9&lt;/sup&gt;" }, "properties" : { "noteIndex" : 0 }, "schema" : "https://github.com/citation-style-language/schema/raw/master/csl-citation.json" }</w:instrText>
      </w:r>
      <w:r w:rsidR="0027123B">
        <w:rPr>
          <w:rFonts w:asciiTheme="majorHAnsi" w:hAnsiTheme="majorHAnsi" w:cs="Helvetica Neue LT"/>
          <w:color w:val="000000"/>
        </w:rPr>
        <w:fldChar w:fldCharType="separate"/>
      </w:r>
      <w:r w:rsidR="00F25EB3" w:rsidRPr="00F25EB3">
        <w:rPr>
          <w:rFonts w:asciiTheme="majorHAnsi" w:hAnsiTheme="majorHAnsi" w:cs="Helvetica Neue LT"/>
          <w:noProof/>
          <w:color w:val="000000"/>
          <w:vertAlign w:val="superscript"/>
        </w:rPr>
        <w:t>9</w:t>
      </w:r>
      <w:r w:rsidR="0027123B">
        <w:rPr>
          <w:rFonts w:asciiTheme="majorHAnsi" w:hAnsiTheme="majorHAnsi" w:cs="Helvetica Neue LT"/>
          <w:color w:val="000000"/>
        </w:rPr>
        <w:fldChar w:fldCharType="end"/>
      </w:r>
      <w:r w:rsidR="002E1FE1">
        <w:rPr>
          <w:rFonts w:asciiTheme="majorHAnsi" w:hAnsiTheme="majorHAnsi" w:cs="Helvetica Neue LT"/>
          <w:color w:val="000000"/>
        </w:rPr>
        <w:t xml:space="preserve">  </w:t>
      </w:r>
      <w:r w:rsidR="00CF3B17">
        <w:rPr>
          <w:rFonts w:asciiTheme="majorHAnsi" w:hAnsiTheme="majorHAnsi"/>
        </w:rPr>
        <w:t xml:space="preserve"> </w:t>
      </w:r>
    </w:p>
    <w:p w:rsidR="00C15D44" w:rsidRDefault="00054B4B" w:rsidP="00403CDF">
      <w:pPr>
        <w:spacing w:after="120" w:line="360" w:lineRule="auto"/>
        <w:contextualSpacing/>
        <w:rPr>
          <w:rFonts w:asciiTheme="majorHAnsi" w:hAnsiTheme="majorHAnsi"/>
        </w:rPr>
      </w:pPr>
      <w:r>
        <w:rPr>
          <w:rFonts w:asciiTheme="majorHAnsi" w:hAnsiTheme="majorHAnsi"/>
        </w:rPr>
        <w:t xml:space="preserve">    </w:t>
      </w:r>
    </w:p>
    <w:p w:rsidR="00E33BE7" w:rsidRDefault="00E33BE7" w:rsidP="00403CDF">
      <w:pPr>
        <w:spacing w:after="120" w:line="360" w:lineRule="auto"/>
        <w:contextualSpacing/>
        <w:rPr>
          <w:rFonts w:asciiTheme="majorHAnsi" w:hAnsiTheme="majorHAnsi"/>
        </w:rPr>
      </w:pPr>
      <w:r>
        <w:rPr>
          <w:rFonts w:asciiTheme="majorHAnsi" w:hAnsiTheme="majorHAnsi"/>
        </w:rPr>
        <w:t>In identifying and evaluating the policies, programs, and practices that will increase the availability and affordability of safe, appropriate housing for older New Yorkers, NYAM encourages the senior housing task force</w:t>
      </w:r>
      <w:r w:rsidR="00C15D44">
        <w:rPr>
          <w:rFonts w:asciiTheme="majorHAnsi" w:hAnsiTheme="majorHAnsi"/>
        </w:rPr>
        <w:t xml:space="preserve"> to </w:t>
      </w:r>
      <w:r w:rsidR="007F349A">
        <w:rPr>
          <w:rFonts w:asciiTheme="majorHAnsi" w:hAnsiTheme="majorHAnsi"/>
        </w:rPr>
        <w:t>incorporate into its purview</w:t>
      </w:r>
      <w:r w:rsidR="00C15D44">
        <w:rPr>
          <w:rFonts w:asciiTheme="majorHAnsi" w:hAnsiTheme="majorHAnsi"/>
        </w:rPr>
        <w:t xml:space="preserve"> all types of senior housing</w:t>
      </w:r>
      <w:r w:rsidR="00CF3B17">
        <w:rPr>
          <w:rFonts w:asciiTheme="majorHAnsi" w:hAnsiTheme="majorHAnsi"/>
        </w:rPr>
        <w:t xml:space="preserve"> (including illegal housing)</w:t>
      </w:r>
      <w:r w:rsidR="00156A3D">
        <w:rPr>
          <w:rFonts w:asciiTheme="majorHAnsi" w:hAnsiTheme="majorHAnsi"/>
        </w:rPr>
        <w:t>,</w:t>
      </w:r>
      <w:r w:rsidR="007F349A">
        <w:rPr>
          <w:rFonts w:asciiTheme="majorHAnsi" w:hAnsiTheme="majorHAnsi"/>
        </w:rPr>
        <w:t xml:space="preserve"> to be cognizant of </w:t>
      </w:r>
      <w:r w:rsidR="00DD0A52">
        <w:rPr>
          <w:rFonts w:asciiTheme="majorHAnsi" w:hAnsiTheme="majorHAnsi"/>
        </w:rPr>
        <w:t>the range of functional capacity among older people,</w:t>
      </w:r>
      <w:r w:rsidR="00386B5A">
        <w:rPr>
          <w:rFonts w:asciiTheme="majorHAnsi" w:hAnsiTheme="majorHAnsi"/>
        </w:rPr>
        <w:t xml:space="preserve"> and</w:t>
      </w:r>
      <w:r w:rsidR="00156A3D">
        <w:rPr>
          <w:rFonts w:asciiTheme="majorHAnsi" w:hAnsiTheme="majorHAnsi"/>
        </w:rPr>
        <w:t xml:space="preserve"> </w:t>
      </w:r>
      <w:r w:rsidR="007F349A">
        <w:rPr>
          <w:rFonts w:asciiTheme="majorHAnsi" w:hAnsiTheme="majorHAnsi"/>
        </w:rPr>
        <w:t xml:space="preserve">to consider </w:t>
      </w:r>
      <w:r>
        <w:rPr>
          <w:rFonts w:asciiTheme="majorHAnsi" w:hAnsiTheme="majorHAnsi"/>
        </w:rPr>
        <w:t>the following</w:t>
      </w:r>
      <w:r w:rsidR="00156A3D">
        <w:rPr>
          <w:rFonts w:asciiTheme="majorHAnsi" w:hAnsiTheme="majorHAnsi"/>
        </w:rPr>
        <w:t xml:space="preserve"> recommendations</w:t>
      </w:r>
      <w:r>
        <w:rPr>
          <w:rFonts w:asciiTheme="majorHAnsi" w:hAnsiTheme="majorHAnsi"/>
        </w:rPr>
        <w:t>:</w:t>
      </w:r>
      <w:r w:rsidR="002223CB">
        <w:rPr>
          <w:rFonts w:asciiTheme="majorHAnsi" w:hAnsiTheme="majorHAnsi"/>
        </w:rPr>
        <w:br/>
      </w:r>
    </w:p>
    <w:p w:rsidR="00E33BE7" w:rsidRPr="00E33BE7" w:rsidRDefault="007F349A" w:rsidP="00403CDF">
      <w:pPr>
        <w:pStyle w:val="ListParagraph"/>
        <w:numPr>
          <w:ilvl w:val="0"/>
          <w:numId w:val="7"/>
        </w:numPr>
        <w:spacing w:after="120" w:line="360" w:lineRule="auto"/>
        <w:ind w:left="461" w:hanging="274"/>
        <w:rPr>
          <w:rFonts w:asciiTheme="majorHAnsi" w:hAnsiTheme="majorHAnsi"/>
          <w:b/>
        </w:rPr>
      </w:pPr>
      <w:r>
        <w:rPr>
          <w:rFonts w:asciiTheme="majorHAnsi" w:hAnsiTheme="majorHAnsi"/>
          <w:b/>
        </w:rPr>
        <w:t xml:space="preserve">Include the voices of </w:t>
      </w:r>
      <w:r w:rsidR="00E33BE7" w:rsidRPr="00E33BE7">
        <w:rPr>
          <w:rFonts w:asciiTheme="majorHAnsi" w:hAnsiTheme="majorHAnsi"/>
          <w:b/>
        </w:rPr>
        <w:t xml:space="preserve">older people </w:t>
      </w:r>
      <w:r>
        <w:rPr>
          <w:rFonts w:asciiTheme="majorHAnsi" w:hAnsiTheme="majorHAnsi"/>
          <w:b/>
        </w:rPr>
        <w:t xml:space="preserve">in the Task Force, and remember older people as potential sources of solutions. </w:t>
      </w:r>
    </w:p>
    <w:p w:rsidR="00647153" w:rsidRDefault="00E33BE7" w:rsidP="00403CDF">
      <w:pPr>
        <w:spacing w:after="120" w:line="360" w:lineRule="auto"/>
        <w:ind w:left="461" w:hanging="274"/>
        <w:contextualSpacing/>
        <w:rPr>
          <w:rFonts w:asciiTheme="majorHAnsi" w:hAnsiTheme="majorHAnsi" w:cs="Helvetica Neue LT"/>
          <w:color w:val="000000"/>
        </w:rPr>
      </w:pPr>
      <w:r w:rsidRPr="00E33BE7">
        <w:rPr>
          <w:rFonts w:asciiTheme="majorHAnsi" w:hAnsiTheme="majorHAnsi" w:cs="Helvetica Neue LT"/>
          <w:color w:val="000000"/>
        </w:rPr>
        <w:t>Older adults are a criti</w:t>
      </w:r>
      <w:r w:rsidRPr="00E33BE7">
        <w:rPr>
          <w:rFonts w:asciiTheme="majorHAnsi" w:hAnsiTheme="majorHAnsi" w:cs="Helvetica Neue LT"/>
          <w:color w:val="000000"/>
        </w:rPr>
        <w:softHyphen/>
        <w:t>cal resource to the city. They are often amon</w:t>
      </w:r>
      <w:r w:rsidR="00647153">
        <w:rPr>
          <w:rFonts w:asciiTheme="majorHAnsi" w:hAnsiTheme="majorHAnsi" w:cs="Helvetica Neue LT"/>
          <w:color w:val="000000"/>
        </w:rPr>
        <w:t>g the most long-term, civically</w:t>
      </w:r>
    </w:p>
    <w:p w:rsidR="00647153" w:rsidRDefault="00E33BE7" w:rsidP="00403CDF">
      <w:pPr>
        <w:spacing w:after="120" w:line="360" w:lineRule="auto"/>
        <w:ind w:left="461" w:hanging="274"/>
        <w:contextualSpacing/>
        <w:rPr>
          <w:rFonts w:asciiTheme="majorHAnsi" w:hAnsiTheme="majorHAnsi" w:cs="Helvetica Neue LT"/>
          <w:color w:val="000000"/>
        </w:rPr>
      </w:pPr>
      <w:r w:rsidRPr="00E33BE7">
        <w:rPr>
          <w:rFonts w:asciiTheme="majorHAnsi" w:hAnsiTheme="majorHAnsi" w:cs="Helvetica Neue LT"/>
          <w:color w:val="000000"/>
        </w:rPr>
        <w:t>engaged residents, possessing an unparalleled knowledge of their communities’ surround</w:t>
      </w:r>
      <w:r w:rsidRPr="00E33BE7">
        <w:rPr>
          <w:rFonts w:asciiTheme="majorHAnsi" w:hAnsiTheme="majorHAnsi" w:cs="Helvetica Neue LT"/>
          <w:color w:val="000000"/>
        </w:rPr>
        <w:softHyphen/>
        <w:t xml:space="preserve">ings, </w:t>
      </w:r>
    </w:p>
    <w:p w:rsidR="00647153" w:rsidRDefault="00E33BE7" w:rsidP="00403CDF">
      <w:pPr>
        <w:spacing w:after="120" w:line="360" w:lineRule="auto"/>
        <w:ind w:left="461" w:hanging="274"/>
        <w:contextualSpacing/>
        <w:rPr>
          <w:rFonts w:asciiTheme="majorHAnsi" w:hAnsiTheme="majorHAnsi" w:cs="Helvetica Neue LT"/>
          <w:color w:val="000000"/>
        </w:rPr>
      </w:pPr>
      <w:r w:rsidRPr="00E33BE7">
        <w:rPr>
          <w:rFonts w:asciiTheme="majorHAnsi" w:hAnsiTheme="majorHAnsi" w:cs="Helvetica Neue LT"/>
          <w:color w:val="000000"/>
        </w:rPr>
        <w:t>assets, and vulnerabilities</w:t>
      </w:r>
      <w:r w:rsidR="003C4D97">
        <w:rPr>
          <w:rFonts w:asciiTheme="majorHAnsi" w:hAnsiTheme="majorHAnsi" w:cs="Helvetica Neue LT"/>
          <w:color w:val="000000"/>
        </w:rPr>
        <w:t xml:space="preserve">. Speaking directly to older people, in addition to senior housing </w:t>
      </w:r>
    </w:p>
    <w:p w:rsidR="00647153" w:rsidRDefault="003C4D97" w:rsidP="00403CDF">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 xml:space="preserve">advocates and service providers, will provide a comprehensive understanding of their housing </w:t>
      </w:r>
    </w:p>
    <w:p w:rsidR="00647153" w:rsidRDefault="003C4D97" w:rsidP="00403CDF">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issues. In addition, older people can be mobi</w:t>
      </w:r>
      <w:r w:rsidR="004F7DF3">
        <w:rPr>
          <w:rFonts w:asciiTheme="majorHAnsi" w:hAnsiTheme="majorHAnsi" w:cs="Helvetica Neue LT"/>
          <w:color w:val="000000"/>
        </w:rPr>
        <w:t xml:space="preserve">lized to meet housing-related needs. For example, </w:t>
      </w:r>
    </w:p>
    <w:p w:rsidR="00647153" w:rsidRDefault="004F7DF3" w:rsidP="00403CDF">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Umbrella of the Capital District, an award-winning program</w:t>
      </w:r>
      <w:r w:rsidR="00647153">
        <w:rPr>
          <w:rFonts w:asciiTheme="majorHAnsi" w:hAnsiTheme="majorHAnsi" w:cs="Helvetica Neue LT"/>
          <w:color w:val="000000"/>
        </w:rPr>
        <w:t xml:space="preserve"> in upstate New York, recruits,</w:t>
      </w:r>
    </w:p>
    <w:p w:rsidR="00386B5A" w:rsidRDefault="004F7DF3" w:rsidP="00403CDF">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 xml:space="preserve">screens, and deploys older people (many of whom have extensive </w:t>
      </w:r>
      <w:r w:rsidR="00386B5A">
        <w:rPr>
          <w:rFonts w:asciiTheme="majorHAnsi" w:hAnsiTheme="majorHAnsi" w:cs="Helvetica Neue LT"/>
          <w:color w:val="000000"/>
        </w:rPr>
        <w:t xml:space="preserve">professional </w:t>
      </w:r>
      <w:r>
        <w:rPr>
          <w:rFonts w:asciiTheme="majorHAnsi" w:hAnsiTheme="majorHAnsi" w:cs="Helvetica Neue LT"/>
          <w:color w:val="000000"/>
        </w:rPr>
        <w:t xml:space="preserve">experience) to </w:t>
      </w:r>
    </w:p>
    <w:p w:rsidR="00B624B9" w:rsidRDefault="004F7DF3" w:rsidP="007F349A">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provide handyman and homemaker services to</w:t>
      </w:r>
      <w:r w:rsidR="003A69D5">
        <w:rPr>
          <w:rFonts w:asciiTheme="majorHAnsi" w:hAnsiTheme="majorHAnsi" w:cs="Helvetica Neue LT"/>
          <w:color w:val="000000"/>
        </w:rPr>
        <w:t xml:space="preserve"> their older neighbors</w:t>
      </w:r>
      <w:r w:rsidR="00386B5A">
        <w:rPr>
          <w:rFonts w:asciiTheme="majorHAnsi" w:hAnsiTheme="majorHAnsi" w:cs="Helvetica Neue LT"/>
          <w:color w:val="000000"/>
        </w:rPr>
        <w:t>.</w:t>
      </w:r>
      <w:r w:rsidR="0027123B">
        <w:rPr>
          <w:rFonts w:asciiTheme="majorHAnsi" w:hAnsiTheme="majorHAnsi" w:cs="Helvetica Neue LT"/>
          <w:color w:val="000000"/>
        </w:rPr>
        <w:fldChar w:fldCharType="begin" w:fldLock="1"/>
      </w:r>
      <w:r w:rsidR="00F25EB3">
        <w:rPr>
          <w:rFonts w:asciiTheme="majorHAnsi" w:hAnsiTheme="majorHAnsi" w:cs="Helvetica Neue LT"/>
          <w:color w:val="000000"/>
        </w:rPr>
        <w:instrText>ADDIN CSL_CITATION { "citationItems" : [ { "id" : "ITEM-1", "itemData" : { "URL" : "http://theumbrella.org/", "id" : "ITEM-1", "issued" : { "date-parts" : [ [ "2014" ] ] }, "title" : "Umbrella of the Capital District", "type" : "webpage" }, "uris" : [ "http://www.mendeley.com/documents/?uuid=45d4f9e4-509d-4505-9694-ea3745d77645" ] } ], "mendeley" : { "previouslyFormattedCitation" : "&lt;sup&gt;10&lt;/sup&gt;" }, "properties" : { "noteIndex" : 0 }, "schema" : "https://github.com/citation-style-language/schema/raw/master/csl-citation.json" }</w:instrText>
      </w:r>
      <w:r w:rsidR="0027123B">
        <w:rPr>
          <w:rFonts w:asciiTheme="majorHAnsi" w:hAnsiTheme="majorHAnsi" w:cs="Helvetica Neue LT"/>
          <w:color w:val="000000"/>
        </w:rPr>
        <w:fldChar w:fldCharType="separate"/>
      </w:r>
      <w:r w:rsidR="00F25EB3" w:rsidRPr="00F25EB3">
        <w:rPr>
          <w:rFonts w:asciiTheme="majorHAnsi" w:hAnsiTheme="majorHAnsi" w:cs="Helvetica Neue LT"/>
          <w:noProof/>
          <w:color w:val="000000"/>
          <w:vertAlign w:val="superscript"/>
        </w:rPr>
        <w:t>10</w:t>
      </w:r>
      <w:r w:rsidR="0027123B">
        <w:rPr>
          <w:rFonts w:asciiTheme="majorHAnsi" w:hAnsiTheme="majorHAnsi" w:cs="Helvetica Neue LT"/>
          <w:color w:val="000000"/>
        </w:rPr>
        <w:fldChar w:fldCharType="end"/>
      </w:r>
      <w:r w:rsidR="00826B29">
        <w:rPr>
          <w:rFonts w:asciiTheme="majorHAnsi" w:hAnsiTheme="majorHAnsi" w:cs="Helvetica Neue LT"/>
          <w:color w:val="000000"/>
        </w:rPr>
        <w:t xml:space="preserve"> </w:t>
      </w:r>
      <w:r w:rsidR="007F349A">
        <w:rPr>
          <w:rFonts w:asciiTheme="majorHAnsi" w:hAnsiTheme="majorHAnsi" w:cs="Helvetica Neue LT"/>
          <w:color w:val="000000"/>
        </w:rPr>
        <w:t xml:space="preserve">Such solutions should be </w:t>
      </w:r>
    </w:p>
    <w:p w:rsidR="00826B29" w:rsidRPr="00386B5A" w:rsidRDefault="007F349A" w:rsidP="007F349A">
      <w:pPr>
        <w:spacing w:after="120" w:line="360" w:lineRule="auto"/>
        <w:ind w:left="461" w:hanging="274"/>
        <w:contextualSpacing/>
        <w:rPr>
          <w:rFonts w:asciiTheme="majorHAnsi" w:hAnsiTheme="majorHAnsi" w:cs="Helvetica Neue LT"/>
          <w:color w:val="000000"/>
        </w:rPr>
      </w:pPr>
      <w:r>
        <w:rPr>
          <w:rFonts w:asciiTheme="majorHAnsi" w:hAnsiTheme="majorHAnsi" w:cs="Helvetica Neue LT"/>
          <w:color w:val="000000"/>
        </w:rPr>
        <w:t>part of New York City’s strategy.</w:t>
      </w:r>
      <w:r w:rsidR="00647153">
        <w:rPr>
          <w:rFonts w:asciiTheme="majorHAnsi" w:hAnsiTheme="majorHAnsi" w:cs="Helvetica Neue LT"/>
          <w:color w:val="000000"/>
        </w:rPr>
        <w:br/>
      </w:r>
    </w:p>
    <w:p w:rsidR="00826B29" w:rsidRPr="00826B29" w:rsidRDefault="00826B29" w:rsidP="00403CDF">
      <w:pPr>
        <w:pStyle w:val="ListParagraph"/>
        <w:numPr>
          <w:ilvl w:val="0"/>
          <w:numId w:val="7"/>
        </w:numPr>
        <w:spacing w:after="120" w:line="360" w:lineRule="auto"/>
        <w:ind w:left="461" w:hanging="274"/>
        <w:rPr>
          <w:rFonts w:asciiTheme="majorHAnsi" w:hAnsiTheme="majorHAnsi" w:cs="Helvetica Neue LT"/>
          <w:b/>
          <w:color w:val="000000"/>
        </w:rPr>
      </w:pPr>
      <w:r w:rsidRPr="00826B29">
        <w:rPr>
          <w:rFonts w:asciiTheme="majorHAnsi" w:hAnsiTheme="majorHAnsi" w:cs="Helvetica Neue LT"/>
          <w:b/>
          <w:color w:val="000000"/>
        </w:rPr>
        <w:t>Ensure older p</w:t>
      </w:r>
      <w:r w:rsidR="00114149">
        <w:rPr>
          <w:rFonts w:asciiTheme="majorHAnsi" w:hAnsiTheme="majorHAnsi" w:cs="Helvetica Neue LT"/>
          <w:b/>
          <w:color w:val="000000"/>
        </w:rPr>
        <w:t xml:space="preserve">eople have access to the </w:t>
      </w:r>
      <w:r w:rsidRPr="00826B29">
        <w:rPr>
          <w:rFonts w:asciiTheme="majorHAnsi" w:hAnsiTheme="majorHAnsi" w:cs="Helvetica Neue LT"/>
          <w:b/>
          <w:color w:val="000000"/>
        </w:rPr>
        <w:t xml:space="preserve">supports they need to age in community. </w:t>
      </w:r>
    </w:p>
    <w:p w:rsidR="00647153" w:rsidRDefault="00C15D44" w:rsidP="00B624B9">
      <w:pPr>
        <w:spacing w:after="120" w:line="360" w:lineRule="auto"/>
        <w:ind w:left="187"/>
        <w:contextualSpacing/>
        <w:rPr>
          <w:rFonts w:asciiTheme="majorHAnsi" w:hAnsiTheme="majorHAnsi"/>
        </w:rPr>
      </w:pPr>
      <w:r w:rsidRPr="00C15D44">
        <w:rPr>
          <w:rFonts w:asciiTheme="majorHAnsi" w:hAnsiTheme="majorHAnsi" w:cs="Helvetica Neue LT"/>
          <w:color w:val="000000"/>
        </w:rPr>
        <w:t>For many</w:t>
      </w:r>
      <w:r w:rsidR="00723125">
        <w:rPr>
          <w:rFonts w:asciiTheme="majorHAnsi" w:hAnsiTheme="majorHAnsi" w:cs="Helvetica Neue LT"/>
          <w:color w:val="000000"/>
        </w:rPr>
        <w:t xml:space="preserve"> older adults, </w:t>
      </w:r>
      <w:r w:rsidR="00723125" w:rsidRPr="00C15D44">
        <w:rPr>
          <w:rFonts w:asciiTheme="majorHAnsi" w:hAnsiTheme="majorHAnsi" w:cs="Helvetica Neue LT"/>
          <w:color w:val="000000"/>
        </w:rPr>
        <w:t>physical or cognitive impairment and diminished social networks</w:t>
      </w:r>
      <w:r w:rsidR="00723125">
        <w:rPr>
          <w:rFonts w:asciiTheme="majorHAnsi" w:hAnsiTheme="majorHAnsi" w:cs="Helvetica Neue LT"/>
          <w:color w:val="000000"/>
        </w:rPr>
        <w:t xml:space="preserve"> can </w:t>
      </w:r>
      <w:r w:rsidRPr="00C15D44">
        <w:rPr>
          <w:rFonts w:asciiTheme="majorHAnsi" w:hAnsiTheme="majorHAnsi" w:cs="Helvetica Neue LT"/>
          <w:color w:val="000000"/>
        </w:rPr>
        <w:t>result in increased dependency and attachment to home, belongings</w:t>
      </w:r>
      <w:r w:rsidR="002223CB">
        <w:rPr>
          <w:rFonts w:asciiTheme="majorHAnsi" w:hAnsiTheme="majorHAnsi" w:cs="Helvetica Neue LT"/>
          <w:color w:val="000000"/>
        </w:rPr>
        <w:t>,</w:t>
      </w:r>
      <w:r w:rsidRPr="00C15D44">
        <w:rPr>
          <w:rFonts w:asciiTheme="majorHAnsi" w:hAnsiTheme="majorHAnsi" w:cs="Helvetica Neue LT"/>
          <w:color w:val="000000"/>
        </w:rPr>
        <w:t xml:space="preserve"> and neighborhood</w:t>
      </w:r>
      <w:r>
        <w:rPr>
          <w:rFonts w:asciiTheme="majorHAnsi" w:hAnsiTheme="majorHAnsi" w:cs="Helvetica Neue LT"/>
          <w:color w:val="000000"/>
        </w:rPr>
        <w:t>.</w:t>
      </w:r>
      <w:r w:rsidR="0027123B">
        <w:rPr>
          <w:rFonts w:asciiTheme="majorHAnsi" w:hAnsiTheme="majorHAnsi" w:cs="Helvetica Neue LT"/>
          <w:color w:val="000000"/>
        </w:rPr>
        <w:fldChar w:fldCharType="begin" w:fldLock="1"/>
      </w:r>
      <w:r w:rsidR="00F25EB3">
        <w:rPr>
          <w:rFonts w:asciiTheme="majorHAnsi" w:hAnsiTheme="majorHAnsi" w:cs="Helvetica Neue LT"/>
          <w:color w:val="000000"/>
        </w:rPr>
        <w:instrText>ADDIN CSL_CITATION { "citationItems" : [ { "id" : "ITEM-1", "itemData" : { "author" : [ { "dropping-particle" : "", "family" : "Pillemer", "given" : "Karl", "non-dropping-particle" : "", "parse-names" : false, "suffix" : "" }, { "dropping-particle" : "", "family" : "Glasgow", "given" : "Nina", "non-dropping-particle" : "", "parse-names" : false, "suffix" : "" } ], "chapter-number" : "1", "container-title" : "Social Integration in the Second Half of Life", "editor" : [ { "dropping-particle" : "", "family" : "Pillemer", "given" : "Karl", "non-dropping-particle" : "", "parse-names" : false, "suffix" : "" }, { "dropping-particle" : "", "family" : "Moen", "given" : "Phyllis", "non-dropping-particle" : "", "parse-names" : false, "suffix" : "" }, { "dropping-particle" : "", "family" : "Wethington", "given" : "Elaine", "non-dropping-particle" : "", "parse-names" : false, "suffix" : "" }, { "dropping-particle" : "", "family" : "Glasgow", "given" : "Nina", "non-dropping-particle" : "", "parse-names" : false, "suffix" : "" } ], "id" : "ITEM-1", "issued" : { "date-parts" : [ [ "2000" ] ] }, "page" : "19-47", "publisher" : "The Johns Hopkins University Press", "publisher-place" : "Baltimore &amp; London", "title" : "Social Integration and Aging: Background and Trends", "type" : "chapter" }, "uris" : [ "http://www.mendeley.com/documents/?uuid=dadf88ea-a1b3-4d4e-88a5-8a15486648ef" ] } ], "mendeley" : { "previouslyFormattedCitation" : "&lt;sup&gt;11&lt;/sup&gt;" }, "properties" : { "noteIndex" : 0 }, "schema" : "https://github.com/citation-style-language/schema/raw/master/csl-citation.json" }</w:instrText>
      </w:r>
      <w:r w:rsidR="0027123B">
        <w:rPr>
          <w:rFonts w:asciiTheme="majorHAnsi" w:hAnsiTheme="majorHAnsi" w:cs="Helvetica Neue LT"/>
          <w:color w:val="000000"/>
        </w:rPr>
        <w:fldChar w:fldCharType="separate"/>
      </w:r>
      <w:r w:rsidR="00F25EB3" w:rsidRPr="00F25EB3">
        <w:rPr>
          <w:rFonts w:asciiTheme="majorHAnsi" w:hAnsiTheme="majorHAnsi" w:cs="Helvetica Neue LT"/>
          <w:noProof/>
          <w:color w:val="000000"/>
          <w:vertAlign w:val="superscript"/>
        </w:rPr>
        <w:t>11</w:t>
      </w:r>
      <w:r w:rsidR="0027123B">
        <w:rPr>
          <w:rFonts w:asciiTheme="majorHAnsi" w:hAnsiTheme="majorHAnsi" w:cs="Helvetica Neue LT"/>
          <w:color w:val="000000"/>
        </w:rPr>
        <w:fldChar w:fldCharType="end"/>
      </w:r>
      <w:r w:rsidR="00E86EE5">
        <w:rPr>
          <w:rFonts w:asciiTheme="majorHAnsi" w:hAnsiTheme="majorHAnsi"/>
        </w:rPr>
        <w:t xml:space="preserve"> Displaced older people can experience the exacerbation or emergence of physical and mental health conditions.</w:t>
      </w:r>
      <w:r w:rsidR="0027123B">
        <w:rPr>
          <w:rFonts w:asciiTheme="majorHAnsi" w:hAnsiTheme="majorHAnsi"/>
        </w:rPr>
        <w:fldChar w:fldCharType="begin" w:fldLock="1"/>
      </w:r>
      <w:r w:rsidR="00F25EB3">
        <w:rPr>
          <w:rFonts w:asciiTheme="majorHAnsi" w:hAnsiTheme="majorHAnsi"/>
        </w:rPr>
        <w:instrText>ADDIN CSL_CITATION { "citationItems" : [ { "id" : "ITEM-1", "itemData" : { "author" : [ { "dropping-particle" : "", "family" : "Villanti", "given" : "Andrea", "non-dropping-particle" : "", "parse-names" : false, "suffix" : "" } ], "container-title" : "Geriatric mental health disaster and emergency preparedness", "editor" : [ { "dropping-particle" : "", "family" : "Toner", "given" : "John", "non-dropping-particle" : "", "parse-names" : false, "suffix" : "" } ], "id" : "ITEM-1", "issued" : { "date-parts" : [ [ "2013" ] ] }, "page" : "119-140", "publisher" : "Springer Pub. Co.", "publisher-place" : "New York", "title" : "Making the Community Plan: A Public Health Perspective", "type" : "chapter" }, "uris" : [ "http://www.mendeley.com/documents/?uuid=ab74a10c-29b7-4fe8-a8bf-021da23c23da" ] } ], "mendeley" : { "previouslyFormattedCitation" : "&lt;sup&gt;12&lt;/sup&gt;"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12</w:t>
      </w:r>
      <w:r w:rsidR="0027123B">
        <w:rPr>
          <w:rFonts w:asciiTheme="majorHAnsi" w:hAnsiTheme="majorHAnsi"/>
        </w:rPr>
        <w:fldChar w:fldCharType="end"/>
      </w:r>
      <w:r w:rsidR="00E86EE5">
        <w:rPr>
          <w:rFonts w:asciiTheme="majorHAnsi" w:hAnsiTheme="majorHAnsi"/>
        </w:rPr>
        <w:t xml:space="preserve"> </w:t>
      </w:r>
      <w:r w:rsidR="00B624B9">
        <w:rPr>
          <w:rFonts w:asciiTheme="majorHAnsi" w:hAnsiTheme="majorHAnsi"/>
        </w:rPr>
        <w:t xml:space="preserve">When it is necessary for older people to relocate, for instance to a smaller apartment, the </w:t>
      </w:r>
      <w:r w:rsidR="00E86EE5">
        <w:rPr>
          <w:rFonts w:asciiTheme="majorHAnsi" w:hAnsiTheme="majorHAnsi"/>
        </w:rPr>
        <w:t xml:space="preserve">City should prioritize keeping older people within their </w:t>
      </w:r>
      <w:r w:rsidR="00114149">
        <w:rPr>
          <w:rFonts w:asciiTheme="majorHAnsi" w:hAnsiTheme="majorHAnsi"/>
        </w:rPr>
        <w:t>neighborhoods</w:t>
      </w:r>
      <w:r w:rsidR="00383D35">
        <w:rPr>
          <w:rFonts w:asciiTheme="majorHAnsi" w:hAnsiTheme="majorHAnsi"/>
        </w:rPr>
        <w:t xml:space="preserve"> and engaging in ongoing </w:t>
      </w:r>
      <w:r w:rsidR="00211824">
        <w:rPr>
          <w:rFonts w:asciiTheme="majorHAnsi" w:hAnsiTheme="majorHAnsi"/>
        </w:rPr>
        <w:t>dialogue with</w:t>
      </w:r>
      <w:r w:rsidR="00383D35">
        <w:rPr>
          <w:rFonts w:asciiTheme="majorHAnsi" w:hAnsiTheme="majorHAnsi"/>
        </w:rPr>
        <w:t xml:space="preserve"> older people who must move</w:t>
      </w:r>
      <w:r w:rsidR="00114149">
        <w:rPr>
          <w:rFonts w:asciiTheme="majorHAnsi" w:hAnsiTheme="majorHAnsi"/>
        </w:rPr>
        <w:t xml:space="preserve">. </w:t>
      </w:r>
      <w:r w:rsidR="00647153">
        <w:rPr>
          <w:rFonts w:asciiTheme="majorHAnsi" w:hAnsiTheme="majorHAnsi"/>
        </w:rPr>
        <w:br/>
      </w:r>
    </w:p>
    <w:p w:rsidR="00647153" w:rsidRDefault="00CA4834" w:rsidP="00403CDF">
      <w:pPr>
        <w:spacing w:after="120" w:line="360" w:lineRule="auto"/>
        <w:ind w:left="461" w:hanging="274"/>
        <w:contextualSpacing/>
        <w:rPr>
          <w:rFonts w:asciiTheme="majorHAnsi" w:hAnsiTheme="majorHAnsi"/>
        </w:rPr>
      </w:pPr>
      <w:r>
        <w:rPr>
          <w:rFonts w:asciiTheme="majorHAnsi" w:hAnsiTheme="majorHAnsi"/>
        </w:rPr>
        <w:t>Efforts should also be made to strengthen older people’s con</w:t>
      </w:r>
      <w:r w:rsidR="00647153">
        <w:rPr>
          <w:rFonts w:asciiTheme="majorHAnsi" w:hAnsiTheme="majorHAnsi"/>
        </w:rPr>
        <w:t>nections to formal and informal</w:t>
      </w:r>
    </w:p>
    <w:p w:rsidR="00647153" w:rsidRDefault="00CA4834" w:rsidP="00403CDF">
      <w:pPr>
        <w:spacing w:after="120" w:line="360" w:lineRule="auto"/>
        <w:ind w:left="461" w:hanging="274"/>
        <w:contextualSpacing/>
        <w:rPr>
          <w:rFonts w:asciiTheme="majorHAnsi" w:hAnsiTheme="majorHAnsi"/>
        </w:rPr>
      </w:pPr>
      <w:r>
        <w:rPr>
          <w:rFonts w:asciiTheme="majorHAnsi" w:hAnsiTheme="majorHAnsi"/>
        </w:rPr>
        <w:lastRenderedPageBreak/>
        <w:t xml:space="preserve">support systems. </w:t>
      </w:r>
      <w:r w:rsidR="00114149">
        <w:rPr>
          <w:rFonts w:asciiTheme="majorHAnsi" w:hAnsiTheme="majorHAnsi"/>
        </w:rPr>
        <w:t>The provision of health care and social services within housing</w:t>
      </w:r>
      <w:r>
        <w:rPr>
          <w:rFonts w:asciiTheme="majorHAnsi" w:hAnsiTheme="majorHAnsi"/>
        </w:rPr>
        <w:t xml:space="preserve">, as well as </w:t>
      </w:r>
    </w:p>
    <w:p w:rsidR="00647153" w:rsidRDefault="00CA4834" w:rsidP="00403CDF">
      <w:pPr>
        <w:spacing w:after="120" w:line="360" w:lineRule="auto"/>
        <w:ind w:left="461" w:hanging="274"/>
        <w:contextualSpacing/>
        <w:rPr>
          <w:rFonts w:asciiTheme="majorHAnsi" w:hAnsiTheme="majorHAnsi"/>
        </w:rPr>
      </w:pPr>
      <w:r>
        <w:rPr>
          <w:rFonts w:asciiTheme="majorHAnsi" w:hAnsiTheme="majorHAnsi"/>
        </w:rPr>
        <w:t>increased social connectedness,</w:t>
      </w:r>
      <w:r w:rsidR="00114149">
        <w:rPr>
          <w:rFonts w:asciiTheme="majorHAnsi" w:hAnsiTheme="majorHAnsi"/>
        </w:rPr>
        <w:t xml:space="preserve"> </w:t>
      </w:r>
      <w:r>
        <w:rPr>
          <w:rFonts w:asciiTheme="majorHAnsi" w:hAnsiTheme="majorHAnsi"/>
        </w:rPr>
        <w:t>have</w:t>
      </w:r>
      <w:r w:rsidR="00114149">
        <w:rPr>
          <w:rFonts w:asciiTheme="majorHAnsi" w:hAnsiTheme="majorHAnsi"/>
        </w:rPr>
        <w:t xml:space="preserve"> been shown to </w:t>
      </w:r>
      <w:r>
        <w:rPr>
          <w:rFonts w:asciiTheme="majorHAnsi" w:hAnsiTheme="majorHAnsi"/>
        </w:rPr>
        <w:t>influence the heal</w:t>
      </w:r>
      <w:r w:rsidR="00BF1867">
        <w:rPr>
          <w:rFonts w:asciiTheme="majorHAnsi" w:hAnsiTheme="majorHAnsi"/>
        </w:rPr>
        <w:t xml:space="preserve">th outcomes of older </w:t>
      </w:r>
    </w:p>
    <w:p w:rsidR="00647153" w:rsidRDefault="00BF1867" w:rsidP="00403CDF">
      <w:pPr>
        <w:spacing w:after="120" w:line="360" w:lineRule="auto"/>
        <w:ind w:left="461" w:hanging="274"/>
        <w:contextualSpacing/>
        <w:rPr>
          <w:rFonts w:asciiTheme="majorHAnsi" w:hAnsiTheme="majorHAnsi"/>
        </w:rPr>
      </w:pPr>
      <w:r>
        <w:rPr>
          <w:rFonts w:asciiTheme="majorHAnsi" w:hAnsiTheme="majorHAnsi"/>
        </w:rPr>
        <w:t>people</w:t>
      </w:r>
      <w:r w:rsidR="00CA4834">
        <w:rPr>
          <w:rFonts w:asciiTheme="majorHAnsi" w:hAnsiTheme="majorHAnsi"/>
        </w:rPr>
        <w:t>.</w:t>
      </w:r>
      <w:r w:rsidR="0027123B">
        <w:rPr>
          <w:rFonts w:asciiTheme="majorHAnsi" w:hAnsiTheme="majorHAnsi"/>
        </w:rPr>
        <w:fldChar w:fldCharType="begin" w:fldLock="1"/>
      </w:r>
      <w:r w:rsidR="00F25EB3">
        <w:rPr>
          <w:rFonts w:asciiTheme="majorHAnsi" w:hAnsiTheme="majorHAnsi"/>
        </w:rPr>
        <w:instrText>ADDIN CSL_CITATION { "citationItems" : [ { "id" : "ITEM-1", "itemData" : { "ISSN" : "1568-4156", "PMID" : "21637704", "abstract" : "INTRODUCTION AND BACKGROUND: Few financial incentives in the United States encourage coordination across the health and social care systems. Supportive Service Programs (SSPs), operating in Naturally Occurring Retirement Communities (NORCs), attempt to increase access to care and enhance care quality for aging residents. This article presents findings from an evaluation conducted from 2004 to 2006 looking at the feasibility, quality and outcomes of linking health and social services through innovative NORC-SSP and health organization micro-collaborations.\n\nMETHODS: Four NORC-SSPs participated in the study by finding a health care organization or community-based physicians to collaborate with on addressing health conditions that could benefit from a biopsychosocial approach. Each site focused on a specific population, addressed a specific condition or problem, and created different linkages to address the target problem. Using a case study approach, incorporating both qualitative and quantitative methods, this evaluation sought to answer the following two primary questions: 1) Have the participating sites created viable linkages between their organizations that did not exist prior to the study; and, 2) To what extent have the linkages resulted in improvements in clinical and other health and social outcomes?\n\nRESULTS: FINDINGS SUGGEST THAT IMMEDIATE OUTCOMES WERE WIDELY ACHIEVED ACROSS SITES: knowledge of other sector providers' capabilities and services increased; communication across providers increased; identification of target population increased; and, awareness of risks, symptoms and health seeking behaviors among clients/patients increased. Furthermore, intermediate outcomes were also widely achieved: shared care planning, continuity of care, disease management and self care among clients improved. Evidence of improvements in distal outcomes was also found.\n\nDISCUSSION: Using simple, familiar and relatively low-tech approaches to sharing critical patient information among collaborating organizations, inter-sector linkages were successfully established at all four sites. Seven critical success factors emerged that increase the likelihood that linkages will be implemented, effective and sustained: 1) careful goal selection; 2) meaningful collaboration; 3) appropriate role for patients/clients; 4) realistic interventions; 5) realistic expectations for implementation environment; 6) continuous focus on outcomes; and, 7) stable leadership. Focused, mic\u2026", "author" : [ { "dropping-particle" : "", "family" : "Kyriacou", "given" : "Corinne", "non-dropping-particle" : "", "parse-names" : false, "suffix" : "" }, { "dropping-particle" : "", "family" : "Vladeck", "given" : "Fredda", "non-dropping-particle" : "", "parse-names" : false, "suffix" : "" } ], "container-title" : "International journal of integrated care", "id" : "ITEM-1", "issued" : { "date-parts" : [ [ "2011", "4" ] ] }, "page" : "e017", "title" : "A new model of care collaboration for community-dwelling elders: findings and lessons learned from the NORC-Health Care linkage evaluation.", "type" : "article-journal", "volume" : "11" }, "uris" : [ "http://www.mendeley.com/documents/?uuid=073b856a-6fa4-489d-b72e-a688a6acfbfa" ] } ], "mendeley" : { "previouslyFormattedCitation" : "&lt;sup&gt;13&lt;/sup&gt;"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13</w:t>
      </w:r>
      <w:r w:rsidR="0027123B">
        <w:rPr>
          <w:rFonts w:asciiTheme="majorHAnsi" w:hAnsiTheme="majorHAnsi"/>
        </w:rPr>
        <w:fldChar w:fldCharType="end"/>
      </w:r>
      <w:r w:rsidR="00575A85">
        <w:rPr>
          <w:rFonts w:asciiTheme="majorHAnsi" w:hAnsiTheme="majorHAnsi"/>
          <w:vertAlign w:val="superscript"/>
        </w:rPr>
        <w:t>,</w:t>
      </w:r>
      <w:r w:rsidR="0027123B">
        <w:rPr>
          <w:rFonts w:asciiTheme="majorHAnsi" w:hAnsiTheme="majorHAnsi"/>
        </w:rPr>
        <w:fldChar w:fldCharType="begin" w:fldLock="1"/>
      </w:r>
      <w:r w:rsidR="00F25EB3">
        <w:rPr>
          <w:rFonts w:asciiTheme="majorHAnsi" w:hAnsiTheme="majorHAnsi"/>
        </w:rPr>
        <w:instrText>ADDIN CSL_CITATION { "citationItems" : [ { "id" : "ITEM-1", "itemData" : { "ISBN" : "9780309140959", "author" : [ { "dropping-particle" : "", "family" : "National Research Council", "given" : "", "non-dropping-particle" : "", "parse-names" : false, "suffix" : "" } ], "id" : "ITEM-1", "issued" : { "date-parts" : [ [ "2009" ] ] }, "publisher" : "National Academies Press", "publisher-place" : "Washington, D.C.", "title" : "Applications of social network analysis for building community disaster resilience: workshop summary", "type" : "book" }, "uris" : [ "http://www.mendeley.com/documents/?uuid=035d1733-df7a-4d85-a584-38187863fd5b" ] } ], "mendeley" : { "previouslyFormattedCitation" : "&lt;sup&gt;14&lt;/sup&gt;" }, "properties" : { "noteIndex" : 0 }, "schema" : "https://github.com/citation-style-language/schema/raw/master/csl-citation.json" }</w:instrText>
      </w:r>
      <w:r w:rsidR="0027123B">
        <w:rPr>
          <w:rFonts w:asciiTheme="majorHAnsi" w:hAnsiTheme="majorHAnsi"/>
        </w:rPr>
        <w:fldChar w:fldCharType="separate"/>
      </w:r>
      <w:r w:rsidR="00F25EB3" w:rsidRPr="00F25EB3">
        <w:rPr>
          <w:rFonts w:asciiTheme="majorHAnsi" w:hAnsiTheme="majorHAnsi"/>
          <w:noProof/>
          <w:vertAlign w:val="superscript"/>
        </w:rPr>
        <w:t>14</w:t>
      </w:r>
      <w:r w:rsidR="0027123B">
        <w:rPr>
          <w:rFonts w:asciiTheme="majorHAnsi" w:hAnsiTheme="majorHAnsi"/>
        </w:rPr>
        <w:fldChar w:fldCharType="end"/>
      </w:r>
      <w:r w:rsidR="00CA4834">
        <w:rPr>
          <w:rFonts w:asciiTheme="majorHAnsi" w:hAnsiTheme="majorHAnsi"/>
        </w:rPr>
        <w:t xml:space="preserve"> Yet the majority of senior housing does not faci</w:t>
      </w:r>
      <w:r>
        <w:rPr>
          <w:rFonts w:asciiTheme="majorHAnsi" w:hAnsiTheme="majorHAnsi"/>
        </w:rPr>
        <w:t xml:space="preserve">litate access to such supports. Policies </w:t>
      </w:r>
    </w:p>
    <w:p w:rsidR="00647153" w:rsidRDefault="00A47163" w:rsidP="00403CDF">
      <w:pPr>
        <w:spacing w:after="120" w:line="360" w:lineRule="auto"/>
        <w:ind w:left="461" w:hanging="274"/>
        <w:contextualSpacing/>
        <w:rPr>
          <w:rFonts w:asciiTheme="majorHAnsi" w:hAnsiTheme="majorHAnsi"/>
        </w:rPr>
      </w:pPr>
      <w:r>
        <w:rPr>
          <w:rFonts w:asciiTheme="majorHAnsi" w:hAnsiTheme="majorHAnsi"/>
        </w:rPr>
        <w:t>and funding streams that</w:t>
      </w:r>
      <w:r w:rsidR="00BF1867">
        <w:rPr>
          <w:rFonts w:asciiTheme="majorHAnsi" w:hAnsiTheme="majorHAnsi"/>
        </w:rPr>
        <w:t xml:space="preserve"> encourage service coordination</w:t>
      </w:r>
      <w:r w:rsidR="00CA4834">
        <w:rPr>
          <w:rFonts w:asciiTheme="majorHAnsi" w:hAnsiTheme="majorHAnsi"/>
        </w:rPr>
        <w:t xml:space="preserve"> </w:t>
      </w:r>
      <w:r w:rsidR="00BF1867">
        <w:rPr>
          <w:rFonts w:asciiTheme="majorHAnsi" w:hAnsiTheme="majorHAnsi"/>
        </w:rPr>
        <w:t xml:space="preserve">and delivery, multigenerational </w:t>
      </w:r>
    </w:p>
    <w:p w:rsidR="00647153" w:rsidRDefault="00BF1867" w:rsidP="00403CDF">
      <w:pPr>
        <w:spacing w:after="120" w:line="360" w:lineRule="auto"/>
        <w:ind w:left="461" w:hanging="274"/>
        <w:contextualSpacing/>
        <w:rPr>
          <w:rFonts w:asciiTheme="majorHAnsi" w:hAnsiTheme="majorHAnsi"/>
        </w:rPr>
      </w:pPr>
      <w:r>
        <w:rPr>
          <w:rFonts w:asciiTheme="majorHAnsi" w:hAnsiTheme="majorHAnsi"/>
        </w:rPr>
        <w:t>housing,</w:t>
      </w:r>
      <w:r w:rsidR="00574BE8">
        <w:rPr>
          <w:rFonts w:asciiTheme="majorHAnsi" w:hAnsiTheme="majorHAnsi"/>
        </w:rPr>
        <w:t xml:space="preserve"> </w:t>
      </w:r>
      <w:r w:rsidR="00383D35">
        <w:rPr>
          <w:rFonts w:asciiTheme="majorHAnsi" w:hAnsiTheme="majorHAnsi"/>
        </w:rPr>
        <w:t>tenant organization</w:t>
      </w:r>
      <w:r w:rsidR="00574BE8">
        <w:rPr>
          <w:rFonts w:asciiTheme="majorHAnsi" w:hAnsiTheme="majorHAnsi"/>
        </w:rPr>
        <w:t>, and communal space</w:t>
      </w:r>
      <w:r w:rsidR="00383D35">
        <w:rPr>
          <w:rFonts w:asciiTheme="majorHAnsi" w:hAnsiTheme="majorHAnsi"/>
        </w:rPr>
        <w:t xml:space="preserve"> </w:t>
      </w:r>
      <w:r>
        <w:rPr>
          <w:rFonts w:asciiTheme="majorHAnsi" w:hAnsiTheme="majorHAnsi"/>
        </w:rPr>
        <w:t xml:space="preserve">will help older people </w:t>
      </w:r>
      <w:r w:rsidR="00CD4BE1">
        <w:rPr>
          <w:rFonts w:asciiTheme="majorHAnsi" w:hAnsiTheme="majorHAnsi"/>
        </w:rPr>
        <w:t xml:space="preserve">remain safely in their </w:t>
      </w:r>
    </w:p>
    <w:p w:rsidR="00826B29" w:rsidRPr="00BF1867" w:rsidRDefault="00CD4BE1" w:rsidP="00403CDF">
      <w:pPr>
        <w:spacing w:after="120" w:line="360" w:lineRule="auto"/>
        <w:ind w:left="461" w:hanging="274"/>
        <w:contextualSpacing/>
        <w:rPr>
          <w:rFonts w:asciiTheme="majorHAnsi" w:hAnsiTheme="majorHAnsi"/>
        </w:rPr>
      </w:pPr>
      <w:r>
        <w:rPr>
          <w:rFonts w:asciiTheme="majorHAnsi" w:hAnsiTheme="majorHAnsi"/>
        </w:rPr>
        <w:t>homes while</w:t>
      </w:r>
      <w:r w:rsidR="00BF1867">
        <w:rPr>
          <w:rFonts w:asciiTheme="majorHAnsi" w:hAnsiTheme="majorHAnsi"/>
        </w:rPr>
        <w:t xml:space="preserve"> </w:t>
      </w:r>
      <w:r w:rsidR="008E5335">
        <w:rPr>
          <w:rFonts w:asciiTheme="majorHAnsi" w:hAnsiTheme="majorHAnsi"/>
        </w:rPr>
        <w:t>maintain</w:t>
      </w:r>
      <w:r>
        <w:rPr>
          <w:rFonts w:asciiTheme="majorHAnsi" w:hAnsiTheme="majorHAnsi"/>
        </w:rPr>
        <w:t>ing</w:t>
      </w:r>
      <w:r w:rsidR="008E5335">
        <w:rPr>
          <w:rFonts w:asciiTheme="majorHAnsi" w:hAnsiTheme="majorHAnsi"/>
        </w:rPr>
        <w:t xml:space="preserve"> social connections and participation which are integral </w:t>
      </w:r>
      <w:r w:rsidR="00BF1867">
        <w:rPr>
          <w:rFonts w:asciiTheme="majorHAnsi" w:hAnsiTheme="majorHAnsi"/>
        </w:rPr>
        <w:t xml:space="preserve">to healthy aging. </w:t>
      </w:r>
      <w:r w:rsidR="00CA4834">
        <w:rPr>
          <w:rFonts w:asciiTheme="majorHAnsi" w:hAnsiTheme="majorHAnsi"/>
        </w:rPr>
        <w:t xml:space="preserve">  </w:t>
      </w:r>
      <w:r w:rsidR="00114149">
        <w:rPr>
          <w:rFonts w:asciiTheme="majorHAnsi" w:hAnsiTheme="majorHAnsi"/>
        </w:rPr>
        <w:t xml:space="preserve">  </w:t>
      </w:r>
      <w:r w:rsidR="002223CB">
        <w:rPr>
          <w:rFonts w:asciiTheme="majorHAnsi" w:hAnsiTheme="majorHAnsi"/>
        </w:rPr>
        <w:br/>
      </w:r>
      <w:r w:rsidR="00826B29" w:rsidRPr="00E86EE5">
        <w:rPr>
          <w:rFonts w:asciiTheme="majorHAnsi" w:hAnsiTheme="majorHAnsi"/>
        </w:rPr>
        <w:t xml:space="preserve"> </w:t>
      </w:r>
    </w:p>
    <w:p w:rsidR="00647153" w:rsidRDefault="00E33BE7" w:rsidP="00403CDF">
      <w:pPr>
        <w:pStyle w:val="ListParagraph"/>
        <w:numPr>
          <w:ilvl w:val="0"/>
          <w:numId w:val="7"/>
        </w:numPr>
        <w:spacing w:after="120" w:line="360" w:lineRule="auto"/>
        <w:ind w:left="450" w:hanging="270"/>
        <w:rPr>
          <w:rFonts w:asciiTheme="majorHAnsi" w:hAnsiTheme="majorHAnsi"/>
          <w:b/>
        </w:rPr>
      </w:pPr>
      <w:r w:rsidRPr="00570045">
        <w:rPr>
          <w:rFonts w:asciiTheme="majorHAnsi" w:hAnsiTheme="majorHAnsi"/>
          <w:b/>
        </w:rPr>
        <w:t xml:space="preserve">Ensure the </w:t>
      </w:r>
      <w:r w:rsidR="007B5F09">
        <w:rPr>
          <w:rFonts w:asciiTheme="majorHAnsi" w:hAnsiTheme="majorHAnsi"/>
          <w:b/>
        </w:rPr>
        <w:t xml:space="preserve">disaster </w:t>
      </w:r>
      <w:r w:rsidRPr="00570045">
        <w:rPr>
          <w:rFonts w:asciiTheme="majorHAnsi" w:hAnsiTheme="majorHAnsi"/>
          <w:b/>
        </w:rPr>
        <w:t xml:space="preserve">resilience of </w:t>
      </w:r>
      <w:r w:rsidR="00826B29" w:rsidRPr="00570045">
        <w:rPr>
          <w:rFonts w:asciiTheme="majorHAnsi" w:hAnsiTheme="majorHAnsi"/>
          <w:b/>
        </w:rPr>
        <w:t xml:space="preserve">current and future </w:t>
      </w:r>
      <w:r w:rsidRPr="00570045">
        <w:rPr>
          <w:rFonts w:asciiTheme="majorHAnsi" w:hAnsiTheme="majorHAnsi"/>
          <w:b/>
        </w:rPr>
        <w:t xml:space="preserve">senior housing. </w:t>
      </w:r>
    </w:p>
    <w:p w:rsidR="00FA15C6" w:rsidRPr="002223CB" w:rsidRDefault="00383D35" w:rsidP="002223CB">
      <w:pPr>
        <w:spacing w:after="120" w:line="360" w:lineRule="auto"/>
        <w:rPr>
          <w:rFonts w:asciiTheme="majorHAnsi" w:hAnsiTheme="majorHAnsi"/>
          <w:b/>
        </w:rPr>
      </w:pPr>
      <w:r w:rsidRPr="002223CB">
        <w:rPr>
          <w:rFonts w:asciiTheme="majorHAnsi" w:hAnsiTheme="majorHAnsi"/>
        </w:rPr>
        <w:t>NYAM recently completed a year-long study of the impact of Hurricane Sandy on older adults. Focus groups, key informant interviews, and analysi</w:t>
      </w:r>
      <w:r w:rsidR="00211824" w:rsidRPr="002223CB">
        <w:rPr>
          <w:rFonts w:asciiTheme="majorHAnsi" w:hAnsiTheme="majorHAnsi"/>
        </w:rPr>
        <w:t>s of secondary data indicate</w:t>
      </w:r>
      <w:r w:rsidRPr="002223CB">
        <w:rPr>
          <w:rFonts w:asciiTheme="majorHAnsi" w:hAnsiTheme="majorHAnsi"/>
        </w:rPr>
        <w:t xml:space="preserve"> that</w:t>
      </w:r>
      <w:r w:rsidR="00211824" w:rsidRPr="002223CB">
        <w:rPr>
          <w:rFonts w:asciiTheme="majorHAnsi" w:hAnsiTheme="majorHAnsi"/>
        </w:rPr>
        <w:t xml:space="preserve"> many</w:t>
      </w:r>
      <w:r w:rsidRPr="002223CB">
        <w:rPr>
          <w:rFonts w:asciiTheme="majorHAnsi" w:hAnsiTheme="majorHAnsi"/>
        </w:rPr>
        <w:t xml:space="preserve"> providers of housing for older people, </w:t>
      </w:r>
      <w:r w:rsidR="00211824" w:rsidRPr="002223CB">
        <w:rPr>
          <w:rFonts w:asciiTheme="majorHAnsi" w:hAnsiTheme="majorHAnsi"/>
        </w:rPr>
        <w:t xml:space="preserve">such as </w:t>
      </w:r>
      <w:r w:rsidRPr="002223CB">
        <w:rPr>
          <w:rFonts w:asciiTheme="majorHAnsi" w:hAnsiTheme="majorHAnsi"/>
        </w:rPr>
        <w:t xml:space="preserve">NYCHA, section 202, and Mitchell-Lama, were unprepared to address the needs of older people who evacuated and sheltered-in-place. In addition to maintaining physical infrastructure, </w:t>
      </w:r>
      <w:r w:rsidR="00570045" w:rsidRPr="002223CB">
        <w:rPr>
          <w:rFonts w:asciiTheme="majorHAnsi" w:hAnsiTheme="majorHAnsi"/>
        </w:rPr>
        <w:t xml:space="preserve">senior housing providers, including those providers that do not receive city funding but house large numbers of older adults, </w:t>
      </w:r>
      <w:r w:rsidR="00E33BE7" w:rsidRPr="002223CB">
        <w:rPr>
          <w:rFonts w:asciiTheme="majorHAnsi" w:hAnsiTheme="majorHAnsi"/>
        </w:rPr>
        <w:t>should</w:t>
      </w:r>
      <w:r w:rsidR="00A47163" w:rsidRPr="002223CB">
        <w:rPr>
          <w:rFonts w:asciiTheme="majorHAnsi" w:hAnsiTheme="majorHAnsi"/>
        </w:rPr>
        <w:t xml:space="preserve"> be supported in </w:t>
      </w:r>
      <w:r w:rsidR="00B624B9" w:rsidRPr="002223CB">
        <w:rPr>
          <w:rFonts w:asciiTheme="majorHAnsi" w:hAnsiTheme="majorHAnsi"/>
        </w:rPr>
        <w:t xml:space="preserve">developing </w:t>
      </w:r>
      <w:r w:rsidR="00A47163" w:rsidRPr="002223CB">
        <w:rPr>
          <w:rFonts w:asciiTheme="majorHAnsi" w:hAnsiTheme="majorHAnsi"/>
        </w:rPr>
        <w:t>comprehensive</w:t>
      </w:r>
      <w:r w:rsidR="00E33BE7" w:rsidRPr="002223CB">
        <w:rPr>
          <w:rFonts w:asciiTheme="majorHAnsi" w:hAnsiTheme="majorHAnsi"/>
        </w:rPr>
        <w:t xml:space="preserve"> emergency plans</w:t>
      </w:r>
      <w:r w:rsidR="00A47163" w:rsidRPr="002223CB">
        <w:rPr>
          <w:rFonts w:asciiTheme="majorHAnsi" w:hAnsiTheme="majorHAnsi"/>
        </w:rPr>
        <w:t>.</w:t>
      </w:r>
      <w:r w:rsidR="00F8579A" w:rsidRPr="002223CB">
        <w:rPr>
          <w:rFonts w:asciiTheme="majorHAnsi" w:hAnsiTheme="majorHAnsi"/>
        </w:rPr>
        <w:t xml:space="preserve"> These plans should be devised in consultation with older residents</w:t>
      </w:r>
      <w:r w:rsidR="00570045" w:rsidRPr="002223CB">
        <w:rPr>
          <w:rFonts w:asciiTheme="majorHAnsi" w:hAnsiTheme="majorHAnsi"/>
        </w:rPr>
        <w:t xml:space="preserve"> and should include formal partnerships with those entities (e.g. nonprofit, faith-based, health care) who will meet the needs of residen</w:t>
      </w:r>
      <w:r w:rsidR="00B0546C" w:rsidRPr="002223CB">
        <w:rPr>
          <w:rFonts w:asciiTheme="majorHAnsi" w:hAnsiTheme="majorHAnsi"/>
        </w:rPr>
        <w:t>ts that exceed the capacity of the housing provider.</w:t>
      </w:r>
      <w:r w:rsidR="00570045" w:rsidRPr="002223CB">
        <w:rPr>
          <w:rFonts w:asciiTheme="majorHAnsi" w:hAnsiTheme="majorHAnsi"/>
        </w:rPr>
        <w:t xml:space="preserve"> </w:t>
      </w:r>
    </w:p>
    <w:p w:rsidR="00E33BE7" w:rsidRPr="002223CB" w:rsidRDefault="00FA15C6" w:rsidP="002223CB">
      <w:pPr>
        <w:spacing w:after="120" w:line="360" w:lineRule="auto"/>
        <w:rPr>
          <w:rFonts w:asciiTheme="majorHAnsi" w:hAnsiTheme="majorHAnsi"/>
          <w:b/>
        </w:rPr>
      </w:pPr>
      <w:r w:rsidRPr="002223CB">
        <w:rPr>
          <w:rFonts w:asciiTheme="majorHAnsi" w:hAnsiTheme="majorHAnsi"/>
        </w:rPr>
        <w:t>There is</w:t>
      </w:r>
      <w:r w:rsidR="00826B29" w:rsidRPr="002223CB">
        <w:rPr>
          <w:rFonts w:asciiTheme="majorHAnsi" w:hAnsiTheme="majorHAnsi"/>
        </w:rPr>
        <w:t xml:space="preserve"> a growing body of evidence that substantiates community cohesion as a protective factor in disaster</w:t>
      </w:r>
      <w:r w:rsidR="00211824" w:rsidRPr="002223CB">
        <w:rPr>
          <w:rFonts w:asciiTheme="majorHAnsi" w:hAnsiTheme="majorHAnsi"/>
        </w:rPr>
        <w:t>s</w:t>
      </w:r>
      <w:r w:rsidR="00570045" w:rsidRPr="002223CB">
        <w:rPr>
          <w:rFonts w:asciiTheme="majorHAnsi" w:hAnsiTheme="majorHAnsi"/>
        </w:rPr>
        <w:t>.</w:t>
      </w:r>
      <w:r w:rsidR="0027123B" w:rsidRPr="002223CB">
        <w:rPr>
          <w:rFonts w:asciiTheme="majorHAnsi" w:hAnsiTheme="majorHAnsi"/>
        </w:rPr>
        <w:fldChar w:fldCharType="begin" w:fldLock="1"/>
      </w:r>
      <w:r w:rsidR="00F25EB3" w:rsidRPr="002223CB">
        <w:rPr>
          <w:rFonts w:asciiTheme="majorHAnsi" w:hAnsiTheme="majorHAnsi"/>
        </w:rPr>
        <w:instrText>ADDIN CSL_CITATION { "citationItems" : [ { "id" : "ITEM-1", "itemData" : { "ISSN" : "0091-0562", "PMID" : "18157631", "abstract" : "Communities have the potential to function effectively and adapt successfully in the aftermath of disasters. Drawing upon literatures in several disciplines, we present a theory of resilience that encompasses contemporary understandings of stress, adaptation, wellness, and resource dynamics. Community resilience is a process linking a network of adaptive capacities (resources with dynamic attributes) to adaptation after a disturbance or adversity. Community adaptation is manifest in population wellness, defined as high and non-disparate levels of mental and behavioral health, functioning, and quality of life. Community resilience emerges from four primary sets of adaptive capacities--Economic Development, Social Capital, Information and Communication, and Community Competence--that together provide a strategy for disaster readiness. To build collective resilience, communities must reduce risk and resource inequities, engage local people in mitigation, create organizational linkages, boost and protect social supports, and plan for not having a plan, which requires flexibility, decision-making skills, and trusted sources of information that function in the face of unknowns.", "author" : [ { "dropping-particle" : "", "family" : "Norris", "given" : "Fran H", "non-dropping-particle" : "", "parse-names" : false, "suffix" : "" }, { "dropping-particle" : "", "family" : "Stevens", "given" : "Susan P", "non-dropping-particle" : "", "parse-names" : false, "suffix" : "" }, { "dropping-particle" : "", "family" : "Pfefferbaum", "given" : "Betty", "non-dropping-particle" : "", "parse-names" : false, "suffix" : "" }, { "dropping-particle" : "", "family" : "Wyche", "given" : "Karen F", "non-dropping-particle" : "", "parse-names" : false, "suffix" : "" }, { "dropping-particle" : "", "family" : "Pfefferbaum", "given" : "Rose L", "non-dropping-particle" : "", "parse-names" : false, "suffix" : "" } ], "container-title" : "American journal of community psychology", "id" : "ITEM-1", "issue" : "1-2", "issued" : { "date-parts" : [ [ "2008", "3" ] ] }, "page" : "127-50", "title" : "Community resilience as a metaphor, theory, set of capacities, and strategy for disaster readiness.", "type" : "article-journal", "volume" : "41" }, "uris" : [ "http://www.mendeley.com/documents/?uuid=c1178442-d9d3-4800-8f86-bec1e0a8620b" ] } ], "mendeley" : { "previouslyFormattedCitation" : "&lt;sup&gt;15&lt;/sup&gt;" }, "properties" : { "noteIndex" : 0 }, "schema" : "https://github.com/citation-style-language/schema/raw/master/csl-citation.json" }</w:instrText>
      </w:r>
      <w:r w:rsidR="0027123B" w:rsidRPr="002223CB">
        <w:rPr>
          <w:rFonts w:asciiTheme="majorHAnsi" w:hAnsiTheme="majorHAnsi"/>
        </w:rPr>
        <w:fldChar w:fldCharType="separate"/>
      </w:r>
      <w:r w:rsidR="00F25EB3" w:rsidRPr="002223CB">
        <w:rPr>
          <w:rFonts w:asciiTheme="majorHAnsi" w:hAnsiTheme="majorHAnsi"/>
          <w:noProof/>
          <w:vertAlign w:val="superscript"/>
        </w:rPr>
        <w:t>15</w:t>
      </w:r>
      <w:r w:rsidR="0027123B" w:rsidRPr="002223CB">
        <w:rPr>
          <w:rFonts w:asciiTheme="majorHAnsi" w:hAnsiTheme="majorHAnsi"/>
        </w:rPr>
        <w:fldChar w:fldCharType="end"/>
      </w:r>
      <w:r w:rsidR="00A47163" w:rsidRPr="002223CB">
        <w:rPr>
          <w:rFonts w:asciiTheme="majorHAnsi" w:hAnsiTheme="majorHAnsi"/>
        </w:rPr>
        <w:t xml:space="preserve"> </w:t>
      </w:r>
      <w:r w:rsidR="00805133" w:rsidRPr="002223CB">
        <w:rPr>
          <w:rFonts w:asciiTheme="majorHAnsi" w:hAnsiTheme="majorHAnsi"/>
        </w:rPr>
        <w:t>D</w:t>
      </w:r>
      <w:r w:rsidR="00570045" w:rsidRPr="002223CB">
        <w:rPr>
          <w:rFonts w:asciiTheme="majorHAnsi" w:hAnsiTheme="majorHAnsi"/>
        </w:rPr>
        <w:t>uring Hurricane Sandy the majority of people, including older adults, were helped by friends and neighbors</w:t>
      </w:r>
      <w:r w:rsidR="0027123B" w:rsidRPr="002223CB">
        <w:rPr>
          <w:rFonts w:asciiTheme="majorHAnsi" w:hAnsiTheme="majorHAnsi"/>
        </w:rPr>
        <w:fldChar w:fldCharType="begin" w:fldLock="1"/>
      </w:r>
      <w:r w:rsidR="00F25EB3" w:rsidRPr="002223CB">
        <w:rPr>
          <w:rFonts w:asciiTheme="majorHAnsi" w:hAnsiTheme="majorHAnsi"/>
        </w:rPr>
        <w:instrText>ADDIN CSL_CITATION { "citationItems" : [ { "id" : "ITEM-1", "itemData" : { "author" : [ { "dropping-particle" : "", "family" : "Tompson", "given" : "Trevor", "non-dropping-particle" : "", "parse-names" : false, "suffix" : "" }, { "dropping-particle" : "", "family" : "Benz", "given" : "Jennifer", "non-dropping-particle" : "", "parse-names" : false, "suffix" : "" }, { "dropping-particle" : "", "family" : "Agiesta", "given" : "Jennifer", "non-dropping-particle" : "", "parse-names" : false, "suffix" : "" }, { "dropping-particle" : "", "family" : "Cagney", "given" : "Kate", "non-dropping-particle" : "", "parse-names" : false, "suffix" : "" }, { "dropping-particle" : "", "family" : "Meit", "given" : "Michael", "non-dropping-particle" : "", "parse-names" : false, "suffix" : "" } ], "id" : "ITEM-1", "issue" : "June", "issued" : { "date-parts" : [ [ "2013" ] ] }, "page" : "1-17", "title" : "Resilience in the Wake of Superstorm Sandy", "type" : "report" }, "uris" : [ "http://www.mendeley.com/documents/?uuid=24d376d0-f391-440a-933a-2c0fd268db07" ] } ], "mendeley" : { "previouslyFormattedCitation" : "&lt;sup&gt;16&lt;/sup&gt;" }, "properties" : { "noteIndex" : 0 }, "schema" : "https://github.com/citation-style-language/schema/raw/master/csl-citation.json" }</w:instrText>
      </w:r>
      <w:r w:rsidR="0027123B" w:rsidRPr="002223CB">
        <w:rPr>
          <w:rFonts w:asciiTheme="majorHAnsi" w:hAnsiTheme="majorHAnsi"/>
        </w:rPr>
        <w:fldChar w:fldCharType="separate"/>
      </w:r>
      <w:r w:rsidR="00F25EB3" w:rsidRPr="002223CB">
        <w:rPr>
          <w:rFonts w:asciiTheme="majorHAnsi" w:hAnsiTheme="majorHAnsi"/>
          <w:noProof/>
          <w:vertAlign w:val="superscript"/>
        </w:rPr>
        <w:t>16</w:t>
      </w:r>
      <w:r w:rsidR="0027123B" w:rsidRPr="002223CB">
        <w:rPr>
          <w:rFonts w:asciiTheme="majorHAnsi" w:hAnsiTheme="majorHAnsi"/>
        </w:rPr>
        <w:fldChar w:fldCharType="end"/>
      </w:r>
      <w:r w:rsidR="00570045" w:rsidRPr="002223CB">
        <w:rPr>
          <w:rFonts w:asciiTheme="majorHAnsi" w:hAnsiTheme="majorHAnsi"/>
        </w:rPr>
        <w:t>, and b</w:t>
      </w:r>
      <w:r w:rsidR="00A47163" w:rsidRPr="002223CB">
        <w:rPr>
          <w:rFonts w:asciiTheme="majorHAnsi" w:hAnsiTheme="majorHAnsi"/>
        </w:rPr>
        <w:t xml:space="preserve">uildings with strong tenant associations </w:t>
      </w:r>
      <w:r w:rsidR="00570045" w:rsidRPr="002223CB">
        <w:rPr>
          <w:rFonts w:asciiTheme="majorHAnsi" w:hAnsiTheme="majorHAnsi"/>
        </w:rPr>
        <w:t xml:space="preserve">often </w:t>
      </w:r>
      <w:r w:rsidR="00A47163" w:rsidRPr="002223CB">
        <w:rPr>
          <w:rFonts w:asciiTheme="majorHAnsi" w:hAnsiTheme="majorHAnsi"/>
        </w:rPr>
        <w:t>fared better</w:t>
      </w:r>
      <w:r w:rsidR="00570045" w:rsidRPr="002223CB">
        <w:rPr>
          <w:rFonts w:asciiTheme="majorHAnsi" w:hAnsiTheme="majorHAnsi"/>
        </w:rPr>
        <w:t>, as they were able to meet their own needs until formal services and systems were restored.</w:t>
      </w:r>
      <w:r w:rsidRPr="002223CB">
        <w:rPr>
          <w:rFonts w:asciiTheme="majorHAnsi" w:hAnsiTheme="majorHAnsi"/>
        </w:rPr>
        <w:t xml:space="preserve"> </w:t>
      </w:r>
      <w:r w:rsidR="00211824" w:rsidRPr="002223CB">
        <w:rPr>
          <w:rFonts w:asciiTheme="majorHAnsi" w:hAnsiTheme="majorHAnsi"/>
        </w:rPr>
        <w:t>In addition, o</w:t>
      </w:r>
      <w:r w:rsidRPr="002223CB">
        <w:rPr>
          <w:rFonts w:asciiTheme="majorHAnsi" w:hAnsiTheme="majorHAnsi"/>
        </w:rPr>
        <w:t xml:space="preserve">lder people played a significant role in response and recovery efforts and should be empowered to care for their neighbors in times of stability and crisis. </w:t>
      </w:r>
      <w:r w:rsidR="003433F2" w:rsidRPr="002223CB">
        <w:rPr>
          <w:rFonts w:asciiTheme="majorHAnsi" w:hAnsiTheme="majorHAnsi"/>
        </w:rPr>
        <w:t xml:space="preserve">The full report of NYAM’s findings and recommendations will be available in July at </w:t>
      </w:r>
      <w:hyperlink r:id="rId8" w:history="1">
        <w:r w:rsidR="003433F2" w:rsidRPr="002223CB">
          <w:rPr>
            <w:rStyle w:val="Hyperlink"/>
            <w:rFonts w:asciiTheme="majorHAnsi" w:hAnsiTheme="majorHAnsi"/>
          </w:rPr>
          <w:t>www.nyam.org/OlderAdultsResilienceReport</w:t>
        </w:r>
      </w:hyperlink>
    </w:p>
    <w:p w:rsidR="00647153" w:rsidRDefault="00647153" w:rsidP="00403CDF">
      <w:pPr>
        <w:spacing w:after="120" w:line="360" w:lineRule="auto"/>
        <w:contextualSpacing/>
        <w:rPr>
          <w:rFonts w:asciiTheme="majorHAnsi" w:hAnsiTheme="majorHAnsi"/>
        </w:rPr>
      </w:pPr>
      <w:r>
        <w:rPr>
          <w:rFonts w:asciiTheme="majorHAnsi" w:hAnsiTheme="majorHAnsi"/>
        </w:rPr>
        <w:br/>
      </w:r>
      <w:r w:rsidR="00EE53CF">
        <w:rPr>
          <w:rFonts w:asciiTheme="majorHAnsi" w:hAnsiTheme="majorHAnsi"/>
        </w:rPr>
        <w:t>Age-friendly h</w:t>
      </w:r>
      <w:r w:rsidR="00386A9C">
        <w:rPr>
          <w:rFonts w:asciiTheme="majorHAnsi" w:hAnsiTheme="majorHAnsi"/>
        </w:rPr>
        <w:t xml:space="preserve">ousing </w:t>
      </w:r>
      <w:r w:rsidR="00EE53CF">
        <w:rPr>
          <w:rFonts w:asciiTheme="majorHAnsi" w:hAnsiTheme="majorHAnsi"/>
        </w:rPr>
        <w:t>practices are an essential part of making New York City age friend</w:t>
      </w:r>
      <w:r w:rsidR="008030A4">
        <w:rPr>
          <w:rFonts w:asciiTheme="majorHAnsi" w:hAnsiTheme="majorHAnsi"/>
        </w:rPr>
        <w:t>ly and a good place to grow old.</w:t>
      </w:r>
      <w:r w:rsidR="00EE53CF">
        <w:rPr>
          <w:rFonts w:asciiTheme="majorHAnsi" w:hAnsiTheme="majorHAnsi"/>
        </w:rPr>
        <w:t xml:space="preserve"> We congratulate the City Council on taking up this important topic and offer our services as you investigate this issue further. </w:t>
      </w:r>
    </w:p>
    <w:p w:rsidR="00574BE8" w:rsidRPr="00647153" w:rsidRDefault="00647153" w:rsidP="00403CDF">
      <w:pPr>
        <w:spacing w:line="360" w:lineRule="auto"/>
        <w:contextualSpacing/>
        <w:jc w:val="center"/>
        <w:rPr>
          <w:rFonts w:asciiTheme="majorHAnsi" w:hAnsiTheme="majorHAnsi"/>
        </w:rPr>
      </w:pPr>
      <w:r>
        <w:rPr>
          <w:rFonts w:asciiTheme="majorHAnsi" w:hAnsiTheme="majorHAnsi"/>
        </w:rPr>
        <w:br w:type="page"/>
      </w:r>
      <w:r w:rsidR="00574BE8" w:rsidRPr="00574BE8">
        <w:rPr>
          <w:rFonts w:asciiTheme="majorHAnsi" w:hAnsiTheme="majorHAnsi"/>
          <w:b/>
        </w:rPr>
        <w:t>References</w:t>
      </w:r>
    </w:p>
    <w:p w:rsidR="00F25EB3" w:rsidRPr="00F25EB3" w:rsidRDefault="0027123B">
      <w:pPr>
        <w:pStyle w:val="NormalWeb"/>
        <w:divId w:val="1279603143"/>
        <w:rPr>
          <w:rFonts w:ascii="Cambria" w:eastAsiaTheme="minorEastAsia" w:hAnsi="Cambria"/>
          <w:noProof/>
          <w:sz w:val="22"/>
        </w:rPr>
      </w:pPr>
      <w:r>
        <w:rPr>
          <w:rFonts w:asciiTheme="majorHAnsi" w:hAnsiTheme="majorHAnsi"/>
        </w:rPr>
        <w:fldChar w:fldCharType="begin" w:fldLock="1"/>
      </w:r>
      <w:r w:rsidR="00574BE8">
        <w:rPr>
          <w:rFonts w:asciiTheme="majorHAnsi" w:hAnsiTheme="majorHAnsi"/>
        </w:rPr>
        <w:instrText xml:space="preserve">ADDIN Mendeley Bibliography CSL_BIBLIOGRAPHY </w:instrText>
      </w:r>
      <w:r>
        <w:rPr>
          <w:rFonts w:asciiTheme="majorHAnsi" w:hAnsiTheme="majorHAnsi"/>
        </w:rPr>
        <w:fldChar w:fldCharType="separate"/>
      </w:r>
      <w:r w:rsidR="00F25EB3" w:rsidRPr="00F25EB3">
        <w:rPr>
          <w:rFonts w:ascii="Cambria" w:hAnsi="Cambria"/>
          <w:noProof/>
          <w:sz w:val="22"/>
        </w:rPr>
        <w:t xml:space="preserve">1. World Health Organization. </w:t>
      </w:r>
      <w:r w:rsidR="00F25EB3" w:rsidRPr="00F25EB3">
        <w:rPr>
          <w:rFonts w:ascii="Cambria" w:hAnsi="Cambria"/>
          <w:i/>
          <w:iCs/>
          <w:noProof/>
          <w:sz w:val="22"/>
        </w:rPr>
        <w:t>Active ageing : a policy framework.</w:t>
      </w:r>
      <w:r w:rsidR="00F25EB3" w:rsidRPr="00F25EB3">
        <w:rPr>
          <w:rFonts w:ascii="Cambria" w:hAnsi="Cambria"/>
          <w:noProof/>
          <w:sz w:val="22"/>
        </w:rPr>
        <w:t xml:space="preserve"> Geneva Switzerland: World Health Organization; 2002.</w:t>
      </w:r>
    </w:p>
    <w:p w:rsidR="00F25EB3" w:rsidRPr="00F25EB3" w:rsidRDefault="00F25EB3" w:rsidP="00211824">
      <w:pPr>
        <w:pStyle w:val="NormalWeb"/>
        <w:divId w:val="1279603143"/>
        <w:rPr>
          <w:rFonts w:ascii="Cambria" w:hAnsi="Cambria"/>
          <w:noProof/>
          <w:sz w:val="22"/>
        </w:rPr>
      </w:pPr>
      <w:r w:rsidRPr="00F25EB3">
        <w:rPr>
          <w:rFonts w:ascii="Cambria" w:hAnsi="Cambria"/>
          <w:noProof/>
          <w:sz w:val="22"/>
        </w:rPr>
        <w:t xml:space="preserve">2. Thomson H, Petticrew M, Morrison D. </w:t>
      </w:r>
      <w:r w:rsidRPr="00F25EB3">
        <w:rPr>
          <w:rFonts w:ascii="Cambria" w:hAnsi="Cambria"/>
          <w:i/>
          <w:iCs/>
          <w:noProof/>
          <w:sz w:val="22"/>
        </w:rPr>
        <w:t>Housing improvement and health gain : a summary and systematic review</w:t>
      </w:r>
      <w:r w:rsidRPr="00F25EB3">
        <w:rPr>
          <w:rFonts w:ascii="Cambria" w:hAnsi="Cambria"/>
          <w:noProof/>
          <w:sz w:val="22"/>
        </w:rPr>
        <w:t>. Glasgow: MRC Social &amp; Public Health Services Unit University of Glasgow; 2002.</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3. Evans G, Wells N, Chan H, Saltzman H. Housing quality and mental health. </w:t>
      </w:r>
      <w:r w:rsidRPr="00F25EB3">
        <w:rPr>
          <w:rFonts w:ascii="Cambria" w:hAnsi="Cambria"/>
          <w:i/>
          <w:iCs/>
          <w:noProof/>
          <w:sz w:val="22"/>
        </w:rPr>
        <w:t>J. Consult. Clin. Psychol.</w:t>
      </w:r>
      <w:r w:rsidRPr="00F25EB3">
        <w:rPr>
          <w:rFonts w:ascii="Cambria" w:hAnsi="Cambria"/>
          <w:noProof/>
          <w:sz w:val="22"/>
        </w:rPr>
        <w:t xml:space="preserve"> 2000;68(3).</w:t>
      </w:r>
    </w:p>
    <w:p w:rsidR="00F25EB3" w:rsidRPr="00F25EB3" w:rsidRDefault="00F25EB3">
      <w:pPr>
        <w:pStyle w:val="NormalWeb"/>
        <w:divId w:val="1279603143"/>
        <w:rPr>
          <w:rFonts w:ascii="Cambria" w:hAnsi="Cambria"/>
          <w:noProof/>
          <w:sz w:val="22"/>
        </w:rPr>
      </w:pPr>
      <w:r w:rsidRPr="00F25EB3">
        <w:rPr>
          <w:rFonts w:ascii="Cambria" w:hAnsi="Cambria"/>
          <w:noProof/>
          <w:sz w:val="22"/>
        </w:rPr>
        <w:t>4. U.S. Census Bureau. American Community Survey, 2008-2012 American Community Survey 5-Year Estimates. 2013. Available at: http://factfinder2.census.gov.</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5. Office of the City Comptroller John C. Liu. </w:t>
      </w:r>
      <w:r w:rsidRPr="00F25EB3">
        <w:rPr>
          <w:rFonts w:ascii="Cambria" w:hAnsi="Cambria"/>
          <w:i/>
          <w:iCs/>
          <w:noProof/>
          <w:sz w:val="22"/>
        </w:rPr>
        <w:t>Housing in New York City : The Coming Crisis</w:t>
      </w:r>
      <w:r w:rsidRPr="00F25EB3">
        <w:rPr>
          <w:rFonts w:ascii="Cambria" w:hAnsi="Cambria"/>
          <w:noProof/>
          <w:sz w:val="22"/>
        </w:rPr>
        <w:t>. 2013.</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6. New York City Department of Housing Preservation and Development. Housing New York City 2011. 2013. Available at: http://www.nyc.gov/html/hpd/downloads/pdf/HVS-report-2011.pdf. </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7. The Center for Economic Opportunity. </w:t>
      </w:r>
      <w:r w:rsidRPr="00F25EB3">
        <w:rPr>
          <w:rFonts w:ascii="Cambria" w:hAnsi="Cambria"/>
          <w:i/>
          <w:iCs/>
          <w:noProof/>
          <w:sz w:val="22"/>
        </w:rPr>
        <w:t>The CEO Poverty Measure</w:t>
      </w:r>
      <w:r w:rsidRPr="00F25EB3">
        <w:rPr>
          <w:rFonts w:ascii="Cambria" w:hAnsi="Cambria"/>
          <w:noProof/>
          <w:sz w:val="22"/>
        </w:rPr>
        <w:t xml:space="preserve">. New York; 2008. Available at: http://www.nyc.gov/html/ceo/downloads/pdf/final_poverty_report.pdf. </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8. New York City Department for the Aging. </w:t>
      </w:r>
      <w:r w:rsidRPr="00F25EB3">
        <w:rPr>
          <w:rFonts w:ascii="Cambria" w:hAnsi="Cambria"/>
          <w:i/>
          <w:iCs/>
          <w:noProof/>
          <w:sz w:val="22"/>
        </w:rPr>
        <w:t>Profile of Older New Yorkers</w:t>
      </w:r>
      <w:r w:rsidRPr="00F25EB3">
        <w:rPr>
          <w:rFonts w:ascii="Cambria" w:hAnsi="Cambria"/>
          <w:noProof/>
          <w:sz w:val="22"/>
        </w:rPr>
        <w:t xml:space="preserve">. New York City; 2013. Available at: http://www.nyc.gov/html/dfta/downloads/pdf/demographic/profile_olderNYRS_0911_newsummaries_update.pdf. </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9. Gonzalez-Rivera C. </w:t>
      </w:r>
      <w:r w:rsidRPr="00F25EB3">
        <w:rPr>
          <w:rFonts w:ascii="Cambria" w:hAnsi="Cambria"/>
          <w:i/>
          <w:iCs/>
          <w:noProof/>
          <w:sz w:val="22"/>
        </w:rPr>
        <w:t>The New Face of New York’s Seniors</w:t>
      </w:r>
      <w:r w:rsidRPr="00F25EB3">
        <w:rPr>
          <w:rFonts w:ascii="Cambria" w:hAnsi="Cambria"/>
          <w:noProof/>
          <w:sz w:val="22"/>
        </w:rPr>
        <w:t>. New York City; 2013. Available at: http://nycfuture.org/research/publications/the-new-face-of-new-yorks-seniors.</w:t>
      </w:r>
    </w:p>
    <w:p w:rsidR="00F25EB3" w:rsidRPr="00F25EB3" w:rsidRDefault="00F25EB3">
      <w:pPr>
        <w:pStyle w:val="NormalWeb"/>
        <w:divId w:val="1279603143"/>
        <w:rPr>
          <w:rFonts w:ascii="Cambria" w:hAnsi="Cambria"/>
          <w:noProof/>
          <w:sz w:val="22"/>
        </w:rPr>
      </w:pPr>
      <w:r w:rsidRPr="00F25EB3">
        <w:rPr>
          <w:rFonts w:ascii="Cambria" w:hAnsi="Cambria"/>
          <w:noProof/>
          <w:sz w:val="22"/>
        </w:rPr>
        <w:t>10. Umbrella of the Capital District. 2014. Available at: http://theumbrella.org/.</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11. Pillemer K, Glasgow N. Social Integration and Aging: Background and Trends. In: Pillemer K, Moen P, Wethington E, Glasgow N, eds. </w:t>
      </w:r>
      <w:r w:rsidRPr="00F25EB3">
        <w:rPr>
          <w:rFonts w:ascii="Cambria" w:hAnsi="Cambria"/>
          <w:i/>
          <w:iCs/>
          <w:noProof/>
          <w:sz w:val="22"/>
        </w:rPr>
        <w:t>Social Integration in the Second Half of Life</w:t>
      </w:r>
      <w:r w:rsidRPr="00F25EB3">
        <w:rPr>
          <w:rFonts w:ascii="Cambria" w:hAnsi="Cambria"/>
          <w:noProof/>
          <w:sz w:val="22"/>
        </w:rPr>
        <w:t>. Baltimore &amp; London: The Johns Hopkins University Press; 2000:19–47.</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12. Villanti A. Making the Community Plan: A Public Health Perspective. In: Toner J, ed. </w:t>
      </w:r>
      <w:r w:rsidRPr="00F25EB3">
        <w:rPr>
          <w:rFonts w:ascii="Cambria" w:hAnsi="Cambria"/>
          <w:i/>
          <w:iCs/>
          <w:noProof/>
          <w:sz w:val="22"/>
        </w:rPr>
        <w:t>Geriatric mental health disaster and emergency preparedness</w:t>
      </w:r>
      <w:r w:rsidRPr="00F25EB3">
        <w:rPr>
          <w:rFonts w:ascii="Cambria" w:hAnsi="Cambria"/>
          <w:noProof/>
          <w:sz w:val="22"/>
        </w:rPr>
        <w:t>. New York: Springer Pub. Co.; 2013:119–140.</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13. Kyriacou C, Vladeck F. A new model of care collaboration for community-dwelling elders: findings and lessons learned from the NORC-Health Care linkage evaluation. </w:t>
      </w:r>
      <w:r w:rsidRPr="00F25EB3">
        <w:rPr>
          <w:rFonts w:ascii="Cambria" w:hAnsi="Cambria"/>
          <w:i/>
          <w:iCs/>
          <w:noProof/>
          <w:sz w:val="22"/>
        </w:rPr>
        <w:t>Int. J. Integr. Care</w:t>
      </w:r>
      <w:r w:rsidRPr="00F25EB3">
        <w:rPr>
          <w:rFonts w:ascii="Cambria" w:hAnsi="Cambria"/>
          <w:noProof/>
          <w:sz w:val="22"/>
        </w:rPr>
        <w:t xml:space="preserve">. 2011;11:e017. </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14. National Research Council. </w:t>
      </w:r>
      <w:r w:rsidRPr="00F25EB3">
        <w:rPr>
          <w:rFonts w:ascii="Cambria" w:hAnsi="Cambria"/>
          <w:i/>
          <w:iCs/>
          <w:noProof/>
          <w:sz w:val="22"/>
        </w:rPr>
        <w:t>Applications of social network analysis for building community disaster resilience: workshop summary</w:t>
      </w:r>
      <w:r w:rsidRPr="00F25EB3">
        <w:rPr>
          <w:rFonts w:ascii="Cambria" w:hAnsi="Cambria"/>
          <w:noProof/>
          <w:sz w:val="22"/>
        </w:rPr>
        <w:t xml:space="preserve">. Washington, D.C.: National Academies Press; 2009. </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15. Norris FH, Stevens SP, Pfefferbaum B, Wyche KF, Pfefferbaum RL. Community resilience as a metaphor, theory, set of capacities, and strategy for disaster readiness. </w:t>
      </w:r>
      <w:r w:rsidRPr="00F25EB3">
        <w:rPr>
          <w:rFonts w:ascii="Cambria" w:hAnsi="Cambria"/>
          <w:i/>
          <w:iCs/>
          <w:noProof/>
          <w:sz w:val="22"/>
        </w:rPr>
        <w:t>Am. J. Community Psychol.</w:t>
      </w:r>
      <w:r w:rsidRPr="00F25EB3">
        <w:rPr>
          <w:rFonts w:ascii="Cambria" w:hAnsi="Cambria"/>
          <w:noProof/>
          <w:sz w:val="22"/>
        </w:rPr>
        <w:t xml:space="preserve"> 2008;41(1-2):127–50.</w:t>
      </w:r>
    </w:p>
    <w:p w:rsidR="00F25EB3" w:rsidRPr="00F25EB3" w:rsidRDefault="00F25EB3">
      <w:pPr>
        <w:pStyle w:val="NormalWeb"/>
        <w:divId w:val="1279603143"/>
        <w:rPr>
          <w:rFonts w:ascii="Cambria" w:hAnsi="Cambria"/>
          <w:noProof/>
          <w:sz w:val="22"/>
        </w:rPr>
      </w:pPr>
      <w:r w:rsidRPr="00F25EB3">
        <w:rPr>
          <w:rFonts w:ascii="Cambria" w:hAnsi="Cambria"/>
          <w:noProof/>
          <w:sz w:val="22"/>
        </w:rPr>
        <w:t xml:space="preserve">16. Tompson T, Benz J, Agiesta J, Cagney K, Meit M. </w:t>
      </w:r>
      <w:r w:rsidRPr="00F25EB3">
        <w:rPr>
          <w:rFonts w:ascii="Cambria" w:hAnsi="Cambria"/>
          <w:i/>
          <w:iCs/>
          <w:noProof/>
          <w:sz w:val="22"/>
        </w:rPr>
        <w:t>Resilience in the Wake of Superstorm Sandy</w:t>
      </w:r>
      <w:r w:rsidRPr="00F25EB3">
        <w:rPr>
          <w:rFonts w:ascii="Cambria" w:hAnsi="Cambria"/>
          <w:noProof/>
          <w:sz w:val="22"/>
        </w:rPr>
        <w:t xml:space="preserve">.; 2013:1–17. Available at: http://www.apnorc.org/projects/Pages/resilience-in-the-wake-of-superstorm-sandy.aspx. </w:t>
      </w:r>
    </w:p>
    <w:p w:rsidR="0088434F" w:rsidRPr="00DE1C7F" w:rsidRDefault="0027123B" w:rsidP="00F25EB3">
      <w:pPr>
        <w:pStyle w:val="NormalWeb"/>
        <w:divId w:val="1082797581"/>
        <w:rPr>
          <w:rFonts w:asciiTheme="majorHAnsi" w:hAnsiTheme="majorHAnsi"/>
        </w:rPr>
      </w:pPr>
      <w:r>
        <w:rPr>
          <w:rFonts w:asciiTheme="majorHAnsi" w:hAnsiTheme="majorHAnsi"/>
        </w:rPr>
        <w:fldChar w:fldCharType="end"/>
      </w:r>
    </w:p>
    <w:sectPr w:rsidR="0088434F" w:rsidRPr="00DE1C7F" w:rsidSect="00403CD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ED" w:rsidRDefault="005721ED" w:rsidP="00CF3882">
      <w:pPr>
        <w:spacing w:after="0" w:line="240" w:lineRule="auto"/>
      </w:pPr>
      <w:r>
        <w:separator/>
      </w:r>
    </w:p>
  </w:endnote>
  <w:endnote w:type="continuationSeparator" w:id="0">
    <w:p w:rsidR="005721ED" w:rsidRDefault="005721ED" w:rsidP="00CF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8E" w:rsidRDefault="0076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687"/>
      <w:docPartObj>
        <w:docPartGallery w:val="Page Numbers (Bottom of Page)"/>
        <w:docPartUnique/>
      </w:docPartObj>
    </w:sdtPr>
    <w:sdtEndPr/>
    <w:sdtContent>
      <w:p w:rsidR="00613582" w:rsidRDefault="0027123B">
        <w:pPr>
          <w:pStyle w:val="Footer"/>
          <w:jc w:val="center"/>
        </w:pPr>
        <w:r>
          <w:fldChar w:fldCharType="begin"/>
        </w:r>
        <w:r>
          <w:instrText xml:space="preserve"> PAGE   \* MERGEFORMAT </w:instrText>
        </w:r>
        <w:r>
          <w:fldChar w:fldCharType="separate"/>
        </w:r>
        <w:r w:rsidR="00865501">
          <w:rPr>
            <w:noProof/>
          </w:rPr>
          <w:t>2</w:t>
        </w:r>
        <w:r>
          <w:fldChar w:fldCharType="end"/>
        </w:r>
      </w:p>
    </w:sdtContent>
  </w:sdt>
  <w:p w:rsidR="00613582" w:rsidRDefault="00613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8E" w:rsidRDefault="0076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ED" w:rsidRDefault="005721ED" w:rsidP="00CF3882">
      <w:pPr>
        <w:spacing w:after="0" w:line="240" w:lineRule="auto"/>
      </w:pPr>
      <w:r>
        <w:separator/>
      </w:r>
    </w:p>
  </w:footnote>
  <w:footnote w:type="continuationSeparator" w:id="0">
    <w:p w:rsidR="005721ED" w:rsidRDefault="005721ED" w:rsidP="00CF3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8E" w:rsidRDefault="00760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82" w:rsidRDefault="00613582" w:rsidP="009B046F">
    <w:pPr>
      <w:pStyle w:val="Header"/>
      <w:jc w:val="center"/>
    </w:pPr>
  </w:p>
  <w:p w:rsidR="00613582" w:rsidRDefault="00613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82" w:rsidRDefault="00613582" w:rsidP="009B046F">
    <w:pPr>
      <w:pStyle w:val="Header"/>
      <w:jc w:val="center"/>
    </w:pPr>
    <w:r w:rsidRPr="009B046F">
      <w:rPr>
        <w:noProof/>
      </w:rPr>
      <w:drawing>
        <wp:inline distT="0" distB="0" distL="0" distR="0">
          <wp:extent cx="2876550" cy="695490"/>
          <wp:effectExtent l="19050" t="0" r="0" b="0"/>
          <wp:docPr id="3" name="Picture 1" descr="fu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logo"/>
                  <pic:cNvPicPr>
                    <a:picLocks noChangeAspect="1" noChangeArrowheads="1"/>
                  </pic:cNvPicPr>
                </pic:nvPicPr>
                <pic:blipFill>
                  <a:blip r:embed="rId1" cstate="print"/>
                  <a:srcRect/>
                  <a:stretch>
                    <a:fillRect/>
                  </a:stretch>
                </pic:blipFill>
                <pic:spPr bwMode="auto">
                  <a:xfrm>
                    <a:off x="0" y="0"/>
                    <a:ext cx="2879005" cy="6960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73D3"/>
    <w:multiLevelType w:val="hybridMultilevel"/>
    <w:tmpl w:val="7AB4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E1F1C"/>
    <w:multiLevelType w:val="hybridMultilevel"/>
    <w:tmpl w:val="7C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D0334"/>
    <w:multiLevelType w:val="hybridMultilevel"/>
    <w:tmpl w:val="21BED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091298"/>
    <w:multiLevelType w:val="hybridMultilevel"/>
    <w:tmpl w:val="17C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3B5C91"/>
    <w:multiLevelType w:val="hybridMultilevel"/>
    <w:tmpl w:val="304C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46A92"/>
    <w:multiLevelType w:val="hybridMultilevel"/>
    <w:tmpl w:val="E316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10B6B"/>
    <w:multiLevelType w:val="hybridMultilevel"/>
    <w:tmpl w:val="58787F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126586"/>
    <w:multiLevelType w:val="hybridMultilevel"/>
    <w:tmpl w:val="495EF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D"/>
    <w:rsid w:val="00003BAC"/>
    <w:rsid w:val="00010DA4"/>
    <w:rsid w:val="000169FF"/>
    <w:rsid w:val="00020E14"/>
    <w:rsid w:val="0003192F"/>
    <w:rsid w:val="0003312C"/>
    <w:rsid w:val="00054B4B"/>
    <w:rsid w:val="0005635A"/>
    <w:rsid w:val="000569DB"/>
    <w:rsid w:val="000609B6"/>
    <w:rsid w:val="00062593"/>
    <w:rsid w:val="00063514"/>
    <w:rsid w:val="000744D5"/>
    <w:rsid w:val="00090034"/>
    <w:rsid w:val="00091FFA"/>
    <w:rsid w:val="000968FB"/>
    <w:rsid w:val="000A134D"/>
    <w:rsid w:val="000A15CD"/>
    <w:rsid w:val="000A18B0"/>
    <w:rsid w:val="000B1B81"/>
    <w:rsid w:val="000C6DF3"/>
    <w:rsid w:val="000D32D9"/>
    <w:rsid w:val="000D4935"/>
    <w:rsid w:val="000E3DA2"/>
    <w:rsid w:val="000E56E2"/>
    <w:rsid w:val="000E6D94"/>
    <w:rsid w:val="000F5A09"/>
    <w:rsid w:val="00114149"/>
    <w:rsid w:val="00116D0E"/>
    <w:rsid w:val="00126829"/>
    <w:rsid w:val="0014070D"/>
    <w:rsid w:val="001416E1"/>
    <w:rsid w:val="001444D7"/>
    <w:rsid w:val="00156A3D"/>
    <w:rsid w:val="00157CF0"/>
    <w:rsid w:val="00161FF5"/>
    <w:rsid w:val="00183F38"/>
    <w:rsid w:val="001900DA"/>
    <w:rsid w:val="00191B9F"/>
    <w:rsid w:val="001A1248"/>
    <w:rsid w:val="001A46D2"/>
    <w:rsid w:val="001B2562"/>
    <w:rsid w:val="001B7D12"/>
    <w:rsid w:val="001C4619"/>
    <w:rsid w:val="001D4532"/>
    <w:rsid w:val="001F01D6"/>
    <w:rsid w:val="00200597"/>
    <w:rsid w:val="00211824"/>
    <w:rsid w:val="002223CB"/>
    <w:rsid w:val="00223DCC"/>
    <w:rsid w:val="002268A7"/>
    <w:rsid w:val="00237047"/>
    <w:rsid w:val="002418A0"/>
    <w:rsid w:val="0024425B"/>
    <w:rsid w:val="0024731C"/>
    <w:rsid w:val="00252AD4"/>
    <w:rsid w:val="00264386"/>
    <w:rsid w:val="0027123B"/>
    <w:rsid w:val="00284CB9"/>
    <w:rsid w:val="00295E34"/>
    <w:rsid w:val="00296438"/>
    <w:rsid w:val="002A07F7"/>
    <w:rsid w:val="002B44CD"/>
    <w:rsid w:val="002E1FE1"/>
    <w:rsid w:val="002F67CB"/>
    <w:rsid w:val="003029BB"/>
    <w:rsid w:val="003076F4"/>
    <w:rsid w:val="003077AD"/>
    <w:rsid w:val="00312AF8"/>
    <w:rsid w:val="00322D2D"/>
    <w:rsid w:val="003247F0"/>
    <w:rsid w:val="00333946"/>
    <w:rsid w:val="003433F2"/>
    <w:rsid w:val="0034409E"/>
    <w:rsid w:val="00383D35"/>
    <w:rsid w:val="00386A9C"/>
    <w:rsid w:val="00386B5A"/>
    <w:rsid w:val="0039240A"/>
    <w:rsid w:val="003A05F4"/>
    <w:rsid w:val="003A69D5"/>
    <w:rsid w:val="003A73C4"/>
    <w:rsid w:val="003C4D97"/>
    <w:rsid w:val="003F0397"/>
    <w:rsid w:val="003F4AD0"/>
    <w:rsid w:val="00403CDF"/>
    <w:rsid w:val="00411A1C"/>
    <w:rsid w:val="0041211C"/>
    <w:rsid w:val="00427B39"/>
    <w:rsid w:val="00431EFD"/>
    <w:rsid w:val="00435307"/>
    <w:rsid w:val="004354EF"/>
    <w:rsid w:val="00455105"/>
    <w:rsid w:val="0046186F"/>
    <w:rsid w:val="00475414"/>
    <w:rsid w:val="0048300D"/>
    <w:rsid w:val="00487830"/>
    <w:rsid w:val="00491443"/>
    <w:rsid w:val="00496B9D"/>
    <w:rsid w:val="004972E7"/>
    <w:rsid w:val="004A3E75"/>
    <w:rsid w:val="004A702F"/>
    <w:rsid w:val="004D70A6"/>
    <w:rsid w:val="004E2F2E"/>
    <w:rsid w:val="004F0927"/>
    <w:rsid w:val="004F1171"/>
    <w:rsid w:val="004F3D45"/>
    <w:rsid w:val="004F7DF3"/>
    <w:rsid w:val="0052355E"/>
    <w:rsid w:val="0054084C"/>
    <w:rsid w:val="00540A4F"/>
    <w:rsid w:val="0054479C"/>
    <w:rsid w:val="005537B6"/>
    <w:rsid w:val="00563D8E"/>
    <w:rsid w:val="00570045"/>
    <w:rsid w:val="005721ED"/>
    <w:rsid w:val="00572DC6"/>
    <w:rsid w:val="00574A1A"/>
    <w:rsid w:val="00574BE8"/>
    <w:rsid w:val="00575A85"/>
    <w:rsid w:val="005832E5"/>
    <w:rsid w:val="00597588"/>
    <w:rsid w:val="005A50CD"/>
    <w:rsid w:val="005C533A"/>
    <w:rsid w:val="005C7D15"/>
    <w:rsid w:val="005D38A0"/>
    <w:rsid w:val="005D49A3"/>
    <w:rsid w:val="005E2ACB"/>
    <w:rsid w:val="006071B1"/>
    <w:rsid w:val="00613582"/>
    <w:rsid w:val="00631AE3"/>
    <w:rsid w:val="00635290"/>
    <w:rsid w:val="0064317A"/>
    <w:rsid w:val="006439DF"/>
    <w:rsid w:val="00647153"/>
    <w:rsid w:val="0065779D"/>
    <w:rsid w:val="00661D75"/>
    <w:rsid w:val="006749B0"/>
    <w:rsid w:val="006804E1"/>
    <w:rsid w:val="00681563"/>
    <w:rsid w:val="006837A3"/>
    <w:rsid w:val="00685485"/>
    <w:rsid w:val="006932D6"/>
    <w:rsid w:val="00695800"/>
    <w:rsid w:val="00697AE2"/>
    <w:rsid w:val="006A0D51"/>
    <w:rsid w:val="006A3053"/>
    <w:rsid w:val="006A65B8"/>
    <w:rsid w:val="006B38E5"/>
    <w:rsid w:val="006C70B2"/>
    <w:rsid w:val="006D2DDF"/>
    <w:rsid w:val="006E06EC"/>
    <w:rsid w:val="006E4BF3"/>
    <w:rsid w:val="006F0DA5"/>
    <w:rsid w:val="00723125"/>
    <w:rsid w:val="00751EA9"/>
    <w:rsid w:val="007527E5"/>
    <w:rsid w:val="00757C77"/>
    <w:rsid w:val="0076048E"/>
    <w:rsid w:val="007741E9"/>
    <w:rsid w:val="00776D7F"/>
    <w:rsid w:val="007815D0"/>
    <w:rsid w:val="00792A23"/>
    <w:rsid w:val="007962D9"/>
    <w:rsid w:val="007A1EAA"/>
    <w:rsid w:val="007B3E8F"/>
    <w:rsid w:val="007B5F09"/>
    <w:rsid w:val="007C4A92"/>
    <w:rsid w:val="007C600E"/>
    <w:rsid w:val="007F227B"/>
    <w:rsid w:val="007F318F"/>
    <w:rsid w:val="007F349A"/>
    <w:rsid w:val="008030A4"/>
    <w:rsid w:val="00805133"/>
    <w:rsid w:val="00805FDD"/>
    <w:rsid w:val="00811B97"/>
    <w:rsid w:val="00821C24"/>
    <w:rsid w:val="00824307"/>
    <w:rsid w:val="00826B29"/>
    <w:rsid w:val="0083083E"/>
    <w:rsid w:val="0084486A"/>
    <w:rsid w:val="00847A0E"/>
    <w:rsid w:val="00850F36"/>
    <w:rsid w:val="008575ED"/>
    <w:rsid w:val="00865501"/>
    <w:rsid w:val="00872CCC"/>
    <w:rsid w:val="008806C9"/>
    <w:rsid w:val="0088434F"/>
    <w:rsid w:val="00884CEC"/>
    <w:rsid w:val="008902FB"/>
    <w:rsid w:val="00891526"/>
    <w:rsid w:val="00896524"/>
    <w:rsid w:val="008A38FB"/>
    <w:rsid w:val="008B059E"/>
    <w:rsid w:val="008B64FE"/>
    <w:rsid w:val="008B7017"/>
    <w:rsid w:val="008C69FD"/>
    <w:rsid w:val="008C7491"/>
    <w:rsid w:val="008D1362"/>
    <w:rsid w:val="008D7B8D"/>
    <w:rsid w:val="008E4DF5"/>
    <w:rsid w:val="008E5335"/>
    <w:rsid w:val="0091120D"/>
    <w:rsid w:val="00914C8B"/>
    <w:rsid w:val="00915F8A"/>
    <w:rsid w:val="009241F9"/>
    <w:rsid w:val="009257F4"/>
    <w:rsid w:val="009270E1"/>
    <w:rsid w:val="009325D9"/>
    <w:rsid w:val="00944B83"/>
    <w:rsid w:val="00946174"/>
    <w:rsid w:val="00947094"/>
    <w:rsid w:val="009553B4"/>
    <w:rsid w:val="009809E8"/>
    <w:rsid w:val="00981DC6"/>
    <w:rsid w:val="009A40CD"/>
    <w:rsid w:val="009B046F"/>
    <w:rsid w:val="009C3672"/>
    <w:rsid w:val="009C7299"/>
    <w:rsid w:val="009C76BB"/>
    <w:rsid w:val="009E17C2"/>
    <w:rsid w:val="009E6D10"/>
    <w:rsid w:val="00A151F3"/>
    <w:rsid w:val="00A22C99"/>
    <w:rsid w:val="00A25A7D"/>
    <w:rsid w:val="00A2602B"/>
    <w:rsid w:val="00A31016"/>
    <w:rsid w:val="00A35485"/>
    <w:rsid w:val="00A408D4"/>
    <w:rsid w:val="00A44242"/>
    <w:rsid w:val="00A47163"/>
    <w:rsid w:val="00A5519A"/>
    <w:rsid w:val="00A560FC"/>
    <w:rsid w:val="00A67905"/>
    <w:rsid w:val="00A80106"/>
    <w:rsid w:val="00A933E4"/>
    <w:rsid w:val="00A963D1"/>
    <w:rsid w:val="00AA24DB"/>
    <w:rsid w:val="00AD4CED"/>
    <w:rsid w:val="00AD7E3D"/>
    <w:rsid w:val="00AE0FC8"/>
    <w:rsid w:val="00AE12F5"/>
    <w:rsid w:val="00AE3869"/>
    <w:rsid w:val="00AF3E28"/>
    <w:rsid w:val="00B01B85"/>
    <w:rsid w:val="00B046B6"/>
    <w:rsid w:val="00B048C4"/>
    <w:rsid w:val="00B0546C"/>
    <w:rsid w:val="00B11247"/>
    <w:rsid w:val="00B114F5"/>
    <w:rsid w:val="00B157E2"/>
    <w:rsid w:val="00B173C1"/>
    <w:rsid w:val="00B20346"/>
    <w:rsid w:val="00B22403"/>
    <w:rsid w:val="00B25338"/>
    <w:rsid w:val="00B31F4A"/>
    <w:rsid w:val="00B33001"/>
    <w:rsid w:val="00B4796F"/>
    <w:rsid w:val="00B61E0A"/>
    <w:rsid w:val="00B624B4"/>
    <w:rsid w:val="00B624B9"/>
    <w:rsid w:val="00B815EE"/>
    <w:rsid w:val="00B83525"/>
    <w:rsid w:val="00B84B1E"/>
    <w:rsid w:val="00BA66A0"/>
    <w:rsid w:val="00BC43B1"/>
    <w:rsid w:val="00BC4AEA"/>
    <w:rsid w:val="00BC56CA"/>
    <w:rsid w:val="00BC7D18"/>
    <w:rsid w:val="00BF1867"/>
    <w:rsid w:val="00BF299F"/>
    <w:rsid w:val="00BF473D"/>
    <w:rsid w:val="00C059C8"/>
    <w:rsid w:val="00C06204"/>
    <w:rsid w:val="00C102AE"/>
    <w:rsid w:val="00C15D44"/>
    <w:rsid w:val="00C27282"/>
    <w:rsid w:val="00C272E3"/>
    <w:rsid w:val="00C27B11"/>
    <w:rsid w:val="00C35CE5"/>
    <w:rsid w:val="00C4166B"/>
    <w:rsid w:val="00C74390"/>
    <w:rsid w:val="00C83B82"/>
    <w:rsid w:val="00C924B1"/>
    <w:rsid w:val="00C928F9"/>
    <w:rsid w:val="00C97FB8"/>
    <w:rsid w:val="00CA0061"/>
    <w:rsid w:val="00CA4834"/>
    <w:rsid w:val="00CB7D46"/>
    <w:rsid w:val="00CD2855"/>
    <w:rsid w:val="00CD4BE1"/>
    <w:rsid w:val="00CF3882"/>
    <w:rsid w:val="00CF3B17"/>
    <w:rsid w:val="00D17C03"/>
    <w:rsid w:val="00D36F46"/>
    <w:rsid w:val="00D4415F"/>
    <w:rsid w:val="00D469EF"/>
    <w:rsid w:val="00D6575F"/>
    <w:rsid w:val="00D7296C"/>
    <w:rsid w:val="00D74CE2"/>
    <w:rsid w:val="00D77A15"/>
    <w:rsid w:val="00D9098D"/>
    <w:rsid w:val="00DA3264"/>
    <w:rsid w:val="00DC343F"/>
    <w:rsid w:val="00DC778B"/>
    <w:rsid w:val="00DD0A52"/>
    <w:rsid w:val="00DE1C7F"/>
    <w:rsid w:val="00E1061B"/>
    <w:rsid w:val="00E24E6D"/>
    <w:rsid w:val="00E26699"/>
    <w:rsid w:val="00E33BE7"/>
    <w:rsid w:val="00E523FC"/>
    <w:rsid w:val="00E608E8"/>
    <w:rsid w:val="00E64637"/>
    <w:rsid w:val="00E80DD5"/>
    <w:rsid w:val="00E86EE5"/>
    <w:rsid w:val="00E975F6"/>
    <w:rsid w:val="00EA5AE3"/>
    <w:rsid w:val="00EB29DC"/>
    <w:rsid w:val="00EB417C"/>
    <w:rsid w:val="00EC4AD0"/>
    <w:rsid w:val="00EC6C6B"/>
    <w:rsid w:val="00ED24B2"/>
    <w:rsid w:val="00ED75E6"/>
    <w:rsid w:val="00EE4601"/>
    <w:rsid w:val="00EE53CF"/>
    <w:rsid w:val="00EF460B"/>
    <w:rsid w:val="00F0618D"/>
    <w:rsid w:val="00F1214B"/>
    <w:rsid w:val="00F1515D"/>
    <w:rsid w:val="00F15255"/>
    <w:rsid w:val="00F25EB3"/>
    <w:rsid w:val="00F47CF4"/>
    <w:rsid w:val="00F50FC2"/>
    <w:rsid w:val="00F522E8"/>
    <w:rsid w:val="00F53B2D"/>
    <w:rsid w:val="00F60606"/>
    <w:rsid w:val="00F74225"/>
    <w:rsid w:val="00F76FDA"/>
    <w:rsid w:val="00F81181"/>
    <w:rsid w:val="00F8579A"/>
    <w:rsid w:val="00FA15C6"/>
    <w:rsid w:val="00FA2060"/>
    <w:rsid w:val="00FC3033"/>
    <w:rsid w:val="00FC5AAD"/>
    <w:rsid w:val="00FD6480"/>
    <w:rsid w:val="00FF03DD"/>
    <w:rsid w:val="00FF1708"/>
    <w:rsid w:val="00FF1CFA"/>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5F7743-B5AD-445E-96AD-9F4A51F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8D"/>
    <w:rPr>
      <w:rFonts w:ascii="Tahoma" w:hAnsi="Tahoma" w:cs="Tahoma"/>
      <w:sz w:val="16"/>
      <w:szCs w:val="16"/>
    </w:rPr>
  </w:style>
  <w:style w:type="paragraph" w:styleId="FootnoteText">
    <w:name w:val="footnote text"/>
    <w:basedOn w:val="Normal"/>
    <w:link w:val="FootnoteTextChar"/>
    <w:uiPriority w:val="99"/>
    <w:semiHidden/>
    <w:unhideWhenUsed/>
    <w:rsid w:val="00CF3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882"/>
    <w:rPr>
      <w:sz w:val="20"/>
      <w:szCs w:val="20"/>
    </w:rPr>
  </w:style>
  <w:style w:type="character" w:styleId="FootnoteReference">
    <w:name w:val="footnote reference"/>
    <w:basedOn w:val="DefaultParagraphFont"/>
    <w:uiPriority w:val="99"/>
    <w:semiHidden/>
    <w:unhideWhenUsed/>
    <w:rsid w:val="00CF3882"/>
    <w:rPr>
      <w:vertAlign w:val="superscript"/>
    </w:rPr>
  </w:style>
  <w:style w:type="paragraph" w:styleId="Header">
    <w:name w:val="header"/>
    <w:basedOn w:val="Normal"/>
    <w:link w:val="HeaderChar"/>
    <w:uiPriority w:val="99"/>
    <w:unhideWhenUsed/>
    <w:rsid w:val="0032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2D"/>
  </w:style>
  <w:style w:type="paragraph" w:styleId="Footer">
    <w:name w:val="footer"/>
    <w:basedOn w:val="Normal"/>
    <w:link w:val="FooterChar"/>
    <w:uiPriority w:val="99"/>
    <w:unhideWhenUsed/>
    <w:rsid w:val="0032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2D"/>
  </w:style>
  <w:style w:type="paragraph" w:styleId="NormalWeb">
    <w:name w:val="Normal (Web)"/>
    <w:basedOn w:val="Normal"/>
    <w:uiPriority w:val="99"/>
    <w:unhideWhenUsed/>
    <w:rsid w:val="0041211C"/>
    <w:pPr>
      <w:spacing w:after="24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19A"/>
  </w:style>
  <w:style w:type="character" w:styleId="Hyperlink">
    <w:name w:val="Hyperlink"/>
    <w:basedOn w:val="DefaultParagraphFont"/>
    <w:uiPriority w:val="99"/>
    <w:unhideWhenUsed/>
    <w:rsid w:val="00A5519A"/>
    <w:rPr>
      <w:color w:val="0000FF"/>
      <w:u w:val="single"/>
    </w:rPr>
  </w:style>
  <w:style w:type="character" w:styleId="FollowedHyperlink">
    <w:name w:val="FollowedHyperlink"/>
    <w:basedOn w:val="DefaultParagraphFont"/>
    <w:uiPriority w:val="99"/>
    <w:semiHidden/>
    <w:unhideWhenUsed/>
    <w:rsid w:val="00A5519A"/>
    <w:rPr>
      <w:color w:val="800080" w:themeColor="followedHyperlink"/>
      <w:u w:val="single"/>
    </w:rPr>
  </w:style>
  <w:style w:type="character" w:styleId="Emphasis">
    <w:name w:val="Emphasis"/>
    <w:basedOn w:val="DefaultParagraphFont"/>
    <w:uiPriority w:val="20"/>
    <w:qFormat/>
    <w:rsid w:val="00EC4AD0"/>
    <w:rPr>
      <w:i/>
      <w:iCs/>
    </w:rPr>
  </w:style>
  <w:style w:type="paragraph" w:styleId="ListParagraph">
    <w:name w:val="List Paragraph"/>
    <w:basedOn w:val="Normal"/>
    <w:uiPriority w:val="34"/>
    <w:qFormat/>
    <w:rsid w:val="00EC4AD0"/>
    <w:pPr>
      <w:ind w:left="720"/>
      <w:contextualSpacing/>
    </w:pPr>
  </w:style>
  <w:style w:type="paragraph" w:styleId="EndnoteText">
    <w:name w:val="endnote text"/>
    <w:basedOn w:val="Normal"/>
    <w:link w:val="EndnoteTextChar"/>
    <w:uiPriority w:val="99"/>
    <w:unhideWhenUsed/>
    <w:rsid w:val="00A80106"/>
    <w:pPr>
      <w:spacing w:after="0" w:line="240" w:lineRule="auto"/>
    </w:pPr>
    <w:rPr>
      <w:sz w:val="20"/>
      <w:szCs w:val="20"/>
    </w:rPr>
  </w:style>
  <w:style w:type="character" w:customStyle="1" w:styleId="EndnoteTextChar">
    <w:name w:val="Endnote Text Char"/>
    <w:basedOn w:val="DefaultParagraphFont"/>
    <w:link w:val="EndnoteText"/>
    <w:uiPriority w:val="99"/>
    <w:rsid w:val="00A80106"/>
    <w:rPr>
      <w:sz w:val="20"/>
      <w:szCs w:val="20"/>
    </w:rPr>
  </w:style>
  <w:style w:type="character" w:styleId="EndnoteReference">
    <w:name w:val="endnote reference"/>
    <w:basedOn w:val="DefaultParagraphFont"/>
    <w:uiPriority w:val="99"/>
    <w:semiHidden/>
    <w:unhideWhenUsed/>
    <w:rsid w:val="00A80106"/>
    <w:rPr>
      <w:vertAlign w:val="superscript"/>
    </w:rPr>
  </w:style>
  <w:style w:type="character" w:styleId="CommentReference">
    <w:name w:val="annotation reference"/>
    <w:basedOn w:val="DefaultParagraphFont"/>
    <w:uiPriority w:val="99"/>
    <w:semiHidden/>
    <w:unhideWhenUsed/>
    <w:rsid w:val="00411A1C"/>
    <w:rPr>
      <w:sz w:val="16"/>
      <w:szCs w:val="16"/>
    </w:rPr>
  </w:style>
  <w:style w:type="paragraph" w:styleId="CommentText">
    <w:name w:val="annotation text"/>
    <w:basedOn w:val="Normal"/>
    <w:link w:val="CommentTextChar"/>
    <w:uiPriority w:val="99"/>
    <w:semiHidden/>
    <w:unhideWhenUsed/>
    <w:rsid w:val="00411A1C"/>
    <w:pPr>
      <w:spacing w:line="240" w:lineRule="auto"/>
    </w:pPr>
    <w:rPr>
      <w:sz w:val="20"/>
      <w:szCs w:val="20"/>
    </w:rPr>
  </w:style>
  <w:style w:type="character" w:customStyle="1" w:styleId="CommentTextChar">
    <w:name w:val="Comment Text Char"/>
    <w:basedOn w:val="DefaultParagraphFont"/>
    <w:link w:val="CommentText"/>
    <w:uiPriority w:val="99"/>
    <w:semiHidden/>
    <w:rsid w:val="00411A1C"/>
    <w:rPr>
      <w:sz w:val="20"/>
      <w:szCs w:val="20"/>
    </w:rPr>
  </w:style>
  <w:style w:type="paragraph" w:styleId="CommentSubject">
    <w:name w:val="annotation subject"/>
    <w:basedOn w:val="CommentText"/>
    <w:next w:val="CommentText"/>
    <w:link w:val="CommentSubjectChar"/>
    <w:uiPriority w:val="99"/>
    <w:semiHidden/>
    <w:unhideWhenUsed/>
    <w:rsid w:val="00411A1C"/>
    <w:rPr>
      <w:b/>
      <w:bCs/>
    </w:rPr>
  </w:style>
  <w:style w:type="character" w:customStyle="1" w:styleId="CommentSubjectChar">
    <w:name w:val="Comment Subject Char"/>
    <w:basedOn w:val="CommentTextChar"/>
    <w:link w:val="CommentSubject"/>
    <w:uiPriority w:val="99"/>
    <w:semiHidden/>
    <w:rsid w:val="00411A1C"/>
    <w:rPr>
      <w:b/>
      <w:bCs/>
      <w:sz w:val="20"/>
      <w:szCs w:val="20"/>
    </w:rPr>
  </w:style>
  <w:style w:type="character" w:customStyle="1" w:styleId="cdc-decorated">
    <w:name w:val="cdc-decorated"/>
    <w:basedOn w:val="DefaultParagraphFont"/>
    <w:rsid w:val="006D2DDF"/>
  </w:style>
  <w:style w:type="paragraph" w:styleId="NoSpacing">
    <w:name w:val="No Spacing"/>
    <w:basedOn w:val="Normal"/>
    <w:uiPriority w:val="1"/>
    <w:qFormat/>
    <w:rsid w:val="003F4AD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228">
      <w:bodyDiv w:val="1"/>
      <w:marLeft w:val="0"/>
      <w:marRight w:val="0"/>
      <w:marTop w:val="0"/>
      <w:marBottom w:val="0"/>
      <w:divBdr>
        <w:top w:val="none" w:sz="0" w:space="0" w:color="auto"/>
        <w:left w:val="none" w:sz="0" w:space="0" w:color="auto"/>
        <w:bottom w:val="none" w:sz="0" w:space="0" w:color="auto"/>
        <w:right w:val="none" w:sz="0" w:space="0" w:color="auto"/>
      </w:divBdr>
      <w:divsChild>
        <w:div w:id="1983997556">
          <w:marLeft w:val="0"/>
          <w:marRight w:val="0"/>
          <w:marTop w:val="0"/>
          <w:marBottom w:val="0"/>
          <w:divBdr>
            <w:top w:val="none" w:sz="0" w:space="0" w:color="auto"/>
            <w:left w:val="none" w:sz="0" w:space="0" w:color="auto"/>
            <w:bottom w:val="none" w:sz="0" w:space="0" w:color="auto"/>
            <w:right w:val="none" w:sz="0" w:space="0" w:color="auto"/>
          </w:divBdr>
        </w:div>
      </w:divsChild>
    </w:div>
    <w:div w:id="1082797581">
      <w:bodyDiv w:val="1"/>
      <w:marLeft w:val="0"/>
      <w:marRight w:val="0"/>
      <w:marTop w:val="0"/>
      <w:marBottom w:val="0"/>
      <w:divBdr>
        <w:top w:val="none" w:sz="0" w:space="0" w:color="auto"/>
        <w:left w:val="none" w:sz="0" w:space="0" w:color="auto"/>
        <w:bottom w:val="none" w:sz="0" w:space="0" w:color="auto"/>
        <w:right w:val="none" w:sz="0" w:space="0" w:color="auto"/>
      </w:divBdr>
      <w:divsChild>
        <w:div w:id="127960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am.org/OlderAdultsResilience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AA6CF-EB43-4174-A5EB-A277D1AC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4776</Words>
  <Characters>27224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Siegel</dc:creator>
  <cp:lastModifiedBy>Lindsay Goldman</cp:lastModifiedBy>
  <cp:revision>2</cp:revision>
  <cp:lastPrinted>2014-06-16T20:43:00Z</cp:lastPrinted>
  <dcterms:created xsi:type="dcterms:W3CDTF">2014-08-04T13:52:00Z</dcterms:created>
  <dcterms:modified xsi:type="dcterms:W3CDTF">2014-08-04T13:52:00Z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goldman@nyam.org@www.mendeley.com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